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F2" w:rsidRPr="00CD1FF2" w:rsidRDefault="00CD1FF2" w:rsidP="006335AA">
      <w:pPr>
        <w:widowControl w:val="0"/>
        <w:ind w:left="5529"/>
        <w:jc w:val="center"/>
      </w:pPr>
      <w:r w:rsidRPr="00CD1FF2">
        <w:t xml:space="preserve">Приложение </w:t>
      </w:r>
      <w:r>
        <w:t>5</w:t>
      </w:r>
      <w:r w:rsidR="000359E3">
        <w:t>7</w:t>
      </w:r>
    </w:p>
    <w:p w:rsidR="00CD1FF2" w:rsidRPr="00CD1FF2" w:rsidRDefault="00CD1FF2" w:rsidP="006335AA">
      <w:pPr>
        <w:widowControl w:val="0"/>
        <w:ind w:left="5529"/>
        <w:jc w:val="center"/>
        <w:rPr>
          <w:lang w:val="kk-KZ"/>
        </w:rPr>
      </w:pPr>
      <w:r w:rsidRPr="00CD1FF2">
        <w:rPr>
          <w:lang w:val="kk-KZ"/>
        </w:rPr>
        <w:t>к приказу Министра финансов</w:t>
      </w:r>
    </w:p>
    <w:p w:rsidR="00242473" w:rsidRDefault="00CD1FF2" w:rsidP="006335AA">
      <w:pPr>
        <w:widowControl w:val="0"/>
        <w:ind w:left="5529"/>
        <w:jc w:val="center"/>
        <w:rPr>
          <w:rFonts w:eastAsia="Batang"/>
          <w:b/>
          <w:bCs/>
          <w:lang w:eastAsia="ko-KR"/>
        </w:rPr>
      </w:pPr>
      <w:r w:rsidRPr="00CD1FF2">
        <w:t xml:space="preserve">Республики Казахстан </w:t>
      </w:r>
      <w:r w:rsidRPr="00CD1FF2">
        <w:br/>
      </w:r>
      <w:r w:rsidR="00A73BEC" w:rsidRPr="00A73BEC">
        <w:t>от «12» февраля 2018 года № 166</w:t>
      </w:r>
      <w:bookmarkStart w:id="0" w:name="_GoBack"/>
      <w:bookmarkEnd w:id="0"/>
    </w:p>
    <w:p w:rsidR="001F51AE" w:rsidRDefault="001F51AE" w:rsidP="00496393">
      <w:pPr>
        <w:pStyle w:val="a3"/>
        <w:widowControl w:val="0"/>
        <w:rPr>
          <w:rFonts w:eastAsia="Batang"/>
          <w:b/>
          <w:bCs/>
          <w:lang w:eastAsia="ko-KR"/>
        </w:rPr>
      </w:pPr>
    </w:p>
    <w:p w:rsidR="006335AA" w:rsidRPr="002E7C89" w:rsidRDefault="006335AA" w:rsidP="00496393">
      <w:pPr>
        <w:pStyle w:val="a3"/>
        <w:widowControl w:val="0"/>
        <w:rPr>
          <w:rFonts w:eastAsia="Batang"/>
          <w:b/>
          <w:bCs/>
          <w:lang w:eastAsia="ko-KR"/>
        </w:rPr>
      </w:pPr>
    </w:p>
    <w:p w:rsidR="004F2291" w:rsidRDefault="00242473" w:rsidP="00496393">
      <w:pPr>
        <w:pStyle w:val="a3"/>
        <w:widowControl w:val="0"/>
        <w:rPr>
          <w:b/>
          <w:bCs/>
        </w:rPr>
      </w:pPr>
      <w:r w:rsidRPr="002E7C89">
        <w:rPr>
          <w:rFonts w:eastAsia="Batang"/>
          <w:b/>
          <w:bCs/>
          <w:lang w:eastAsia="ko-KR"/>
        </w:rPr>
        <w:t>Правила</w:t>
      </w:r>
      <w:r w:rsidR="001F51AE">
        <w:rPr>
          <w:b/>
          <w:bCs/>
        </w:rPr>
        <w:br/>
      </w:r>
      <w:r w:rsidRPr="002E7C89">
        <w:rPr>
          <w:b/>
          <w:bCs/>
        </w:rPr>
        <w:t xml:space="preserve">составления налоговой отчетности </w:t>
      </w:r>
      <w:r w:rsidR="00BE2161">
        <w:rPr>
          <w:b/>
          <w:bCs/>
        </w:rPr>
        <w:t>«Д</w:t>
      </w:r>
      <w:r w:rsidR="004F2291">
        <w:rPr>
          <w:b/>
          <w:bCs/>
        </w:rPr>
        <w:t>еклараци</w:t>
      </w:r>
      <w:r w:rsidR="00BE2161">
        <w:rPr>
          <w:b/>
          <w:bCs/>
        </w:rPr>
        <w:t xml:space="preserve">я </w:t>
      </w:r>
      <w:r w:rsidR="004F2291">
        <w:rPr>
          <w:b/>
          <w:bCs/>
        </w:rPr>
        <w:t>по налогу</w:t>
      </w:r>
    </w:p>
    <w:p w:rsidR="004F2291" w:rsidRDefault="00242473" w:rsidP="00496393">
      <w:pPr>
        <w:pStyle w:val="a3"/>
        <w:widowControl w:val="0"/>
        <w:rPr>
          <w:b/>
          <w:bCs/>
        </w:rPr>
      </w:pPr>
      <w:r w:rsidRPr="002E7C89">
        <w:rPr>
          <w:b/>
          <w:bCs/>
        </w:rPr>
        <w:t>на игорный бизнес и фиксированному налогу</w:t>
      </w:r>
    </w:p>
    <w:p w:rsidR="00242473" w:rsidRPr="002E7C89" w:rsidRDefault="00242473" w:rsidP="00496393">
      <w:pPr>
        <w:pStyle w:val="a3"/>
        <w:widowControl w:val="0"/>
        <w:rPr>
          <w:rFonts w:eastAsia="Batang"/>
          <w:b/>
          <w:bCs/>
          <w:lang w:eastAsia="ko-KR"/>
        </w:rPr>
      </w:pPr>
      <w:r w:rsidRPr="002E7C89">
        <w:rPr>
          <w:rFonts w:eastAsia="Batang"/>
          <w:b/>
          <w:bCs/>
          <w:lang w:eastAsia="ko-KR"/>
        </w:rPr>
        <w:t>(форма 710.00)</w:t>
      </w:r>
      <w:r w:rsidR="00BE2161">
        <w:rPr>
          <w:rFonts w:eastAsia="Batang"/>
          <w:b/>
          <w:bCs/>
          <w:lang w:eastAsia="ko-KR"/>
        </w:rPr>
        <w:t>»</w:t>
      </w:r>
    </w:p>
    <w:p w:rsidR="00242473" w:rsidRPr="002E7C89" w:rsidRDefault="00242473" w:rsidP="00496393">
      <w:pPr>
        <w:pStyle w:val="a3"/>
        <w:widowControl w:val="0"/>
        <w:rPr>
          <w:rFonts w:eastAsia="Batang"/>
          <w:b/>
          <w:bCs/>
          <w:lang w:eastAsia="ko-KR"/>
        </w:rPr>
      </w:pPr>
    </w:p>
    <w:p w:rsidR="00242473" w:rsidRPr="002E7C89" w:rsidRDefault="00242473" w:rsidP="00496393">
      <w:pPr>
        <w:pStyle w:val="a3"/>
        <w:widowControl w:val="0"/>
        <w:rPr>
          <w:rFonts w:eastAsia="Batang"/>
          <w:b/>
          <w:bCs/>
          <w:lang w:eastAsia="ko-KR"/>
        </w:rPr>
      </w:pPr>
    </w:p>
    <w:p w:rsidR="00242473" w:rsidRPr="002E7C89" w:rsidRDefault="001F51AE" w:rsidP="004F2291">
      <w:pPr>
        <w:pStyle w:val="a3"/>
        <w:widowControl w:val="0"/>
        <w:tabs>
          <w:tab w:val="left" w:pos="0"/>
          <w:tab w:val="left" w:pos="720"/>
        </w:tabs>
        <w:rPr>
          <w:b/>
          <w:bCs/>
        </w:rPr>
      </w:pPr>
      <w:r>
        <w:rPr>
          <w:b/>
          <w:bCs/>
        </w:rPr>
        <w:t xml:space="preserve">Глава 1. </w:t>
      </w:r>
      <w:r w:rsidR="00242473" w:rsidRPr="002E7C89">
        <w:rPr>
          <w:b/>
          <w:bCs/>
        </w:rPr>
        <w:t>Общие положения</w:t>
      </w:r>
    </w:p>
    <w:p w:rsidR="00242473" w:rsidRPr="002E7C89" w:rsidRDefault="00242473" w:rsidP="00496393">
      <w:pPr>
        <w:pStyle w:val="a3"/>
        <w:widowControl w:val="0"/>
        <w:jc w:val="left"/>
        <w:rPr>
          <w:b/>
          <w:bCs/>
        </w:rPr>
      </w:pPr>
    </w:p>
    <w:p w:rsidR="00BE2161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Настоящ</w:t>
      </w:r>
      <w:r w:rsidRPr="002E7C89">
        <w:rPr>
          <w:rFonts w:eastAsia="Batang"/>
          <w:lang w:eastAsia="ko-KR"/>
        </w:rPr>
        <w:t xml:space="preserve">ие Правила </w:t>
      </w:r>
      <w:r w:rsidRPr="002E7C89">
        <w:t xml:space="preserve">составления налоговой отчетности </w:t>
      </w:r>
      <w:r w:rsidR="00BE2161">
        <w:t>«Д</w:t>
      </w:r>
      <w:r w:rsidRPr="002E7C89">
        <w:t>еклараци</w:t>
      </w:r>
      <w:r w:rsidR="00BE2161">
        <w:t xml:space="preserve">я </w:t>
      </w:r>
      <w:r w:rsidRPr="002E7C89">
        <w:t xml:space="preserve">по налогу на игорный бизнес и фиксированному налогу </w:t>
      </w:r>
      <w:r w:rsidRPr="002E7C89">
        <w:rPr>
          <w:rFonts w:eastAsia="Batang"/>
          <w:lang w:eastAsia="ko-KR"/>
        </w:rPr>
        <w:t>(форма 710.00)</w:t>
      </w:r>
      <w:r w:rsidR="00BE2161">
        <w:rPr>
          <w:rFonts w:eastAsia="Batang"/>
          <w:lang w:eastAsia="ko-KR"/>
        </w:rPr>
        <w:t>»</w:t>
      </w:r>
      <w:r w:rsidR="00815A13">
        <w:rPr>
          <w:rFonts w:eastAsia="Batang"/>
          <w:lang w:eastAsia="ko-KR"/>
        </w:rPr>
        <w:br/>
      </w:r>
      <w:r w:rsidR="00814DDB" w:rsidRPr="002E7C89">
        <w:t xml:space="preserve">(далее – </w:t>
      </w:r>
      <w:r w:rsidR="00814DDB">
        <w:t xml:space="preserve">Правила) </w:t>
      </w:r>
      <w:r w:rsidRPr="002E7C89">
        <w:t>разработаны в соответствии с Кодексом Республики Казахстан от</w:t>
      </w:r>
      <w:r w:rsidR="004F2291">
        <w:t xml:space="preserve"> </w:t>
      </w:r>
      <w:r w:rsidR="000359E3">
        <w:t>25</w:t>
      </w:r>
      <w:r w:rsidRPr="002E7C89">
        <w:t xml:space="preserve"> декабря 20</w:t>
      </w:r>
      <w:r w:rsidR="000359E3">
        <w:t>17</w:t>
      </w:r>
      <w:r w:rsidRPr="002E7C89">
        <w:t xml:space="preserve"> года «О налогах и других обязательных платежах в бюджет» (Налоговый кодекс) и определяют порядок составления формы налоговой отчетности </w:t>
      </w:r>
      <w:r w:rsidR="00BE2161">
        <w:t>«Д</w:t>
      </w:r>
      <w:r w:rsidRPr="002E7C89">
        <w:t>еклараци</w:t>
      </w:r>
      <w:r w:rsidR="00BE2161">
        <w:t xml:space="preserve">я </w:t>
      </w:r>
      <w:r w:rsidRPr="002E7C89">
        <w:t>по налогу на игорный</w:t>
      </w:r>
      <w:r w:rsidR="004F2291">
        <w:t xml:space="preserve"> бизнес и фиксированному налогу</w:t>
      </w:r>
      <w:r w:rsidR="00BE2161">
        <w:t xml:space="preserve">» </w:t>
      </w:r>
      <w:r w:rsidRPr="002E7C89">
        <w:t>(далее – декларация), предназначенной для исчисления налога на игорный бизнес и фиксированного налога. Декларация составляется</w:t>
      </w:r>
      <w:r w:rsidR="00BE2161">
        <w:t>:</w:t>
      </w:r>
    </w:p>
    <w:p w:rsidR="00BE2161" w:rsidRDefault="00BE2161" w:rsidP="00BE2161">
      <w:pPr>
        <w:pStyle w:val="a3"/>
        <w:widowControl w:val="0"/>
        <w:tabs>
          <w:tab w:val="left" w:pos="709"/>
        </w:tabs>
        <w:jc w:val="both"/>
      </w:pPr>
      <w:r>
        <w:tab/>
        <w:t>юридическими лицами, осуществляющими деятельность в сфере игорного бизнеса, в соответствии со статьей 534 Налогового кодекса;</w:t>
      </w:r>
    </w:p>
    <w:p w:rsidR="00242473" w:rsidRDefault="00BE2161" w:rsidP="00BE2161">
      <w:pPr>
        <w:pStyle w:val="a3"/>
        <w:widowControl w:val="0"/>
        <w:tabs>
          <w:tab w:val="left" w:pos="709"/>
        </w:tabs>
        <w:jc w:val="both"/>
      </w:pPr>
      <w:r>
        <w:tab/>
      </w:r>
      <w:r w:rsidR="005B7674" w:rsidRPr="000C3305">
        <w:t>уполномоченны</w:t>
      </w:r>
      <w:r w:rsidR="005B7674">
        <w:t>ми</w:t>
      </w:r>
      <w:r w:rsidR="005B7674" w:rsidRPr="000C3305">
        <w:t xml:space="preserve"> организаци</w:t>
      </w:r>
      <w:r w:rsidR="005B7674">
        <w:t>ями</w:t>
      </w:r>
      <w:r w:rsidR="005B7674" w:rsidRPr="000C3305">
        <w:t>, а также</w:t>
      </w:r>
      <w:r w:rsidR="005B7674" w:rsidRPr="002E7C89">
        <w:t xml:space="preserve"> </w:t>
      </w:r>
      <w:r w:rsidR="00242473" w:rsidRPr="002E7C89">
        <w:t>индивидуальными предпринимателями и юридическими лицами, осуществляющими деятельность по оказанию услуг</w:t>
      </w:r>
      <w:r>
        <w:t>, облагаемых</w:t>
      </w:r>
      <w:r w:rsidR="00193A23">
        <w:t xml:space="preserve"> </w:t>
      </w:r>
      <w:r>
        <w:t xml:space="preserve">фиксированным налогом в соответствии со статьей </w:t>
      </w:r>
      <w:r w:rsidR="000359E3">
        <w:t>544</w:t>
      </w:r>
      <w:r w:rsidR="00815A13">
        <w:t xml:space="preserve"> </w:t>
      </w:r>
      <w:r w:rsidR="00242473" w:rsidRPr="002E7C89">
        <w:t xml:space="preserve">Налогового кодекса. 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Декларация состоит из самой декларации (форма 710.00) и приложений к ней (форма 710.01 и форма 710.02), предназначенных для детального отражения информации об исчислении налогового обязательства.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 xml:space="preserve">При заполнении декларации не допускаются исправления, подчистки и помарки. 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При отсутствии показателей соответствующие ячейки декларации не заполняются.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 xml:space="preserve">Приложение к декларации составляется в обязательном порядке при заполнении строк в декларации, требующих раскрытия соответствующих показателей. 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Приложение к декларации не составляется при отсутствии данных, подлежащих отражению в нем.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 xml:space="preserve">В случае превышения количества показателей в строках, имеющихся на листе приложения к декларации, дополнительно заполняется аналогичный </w:t>
      </w:r>
      <w:r w:rsidRPr="002E7C89">
        <w:lastRenderedPageBreak/>
        <w:t xml:space="preserve">лист приложения к декларации. 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В настоящих Правилах применяются следующие арифметические знаки: «+» – плюс</w:t>
      </w:r>
      <w:proofErr w:type="gramStart"/>
      <w:r w:rsidRPr="002E7C89">
        <w:t>; «</w:t>
      </w:r>
      <w:proofErr w:type="gramEnd"/>
      <w:r w:rsidRPr="002E7C89">
        <w:t>–» – минус; «х» – умножение; «/» – деление; «=» – равно.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kk-KZ"/>
        </w:rPr>
      </w:pPr>
      <w:r w:rsidRPr="002E7C89">
        <w:t xml:space="preserve">Отрицательные значения сумм обозначаются знаком </w:t>
      </w:r>
      <w:proofErr w:type="gramStart"/>
      <w:r w:rsidRPr="002E7C89">
        <w:rPr>
          <w:rFonts w:eastAsia="Batang"/>
          <w:lang w:eastAsia="ko-KR"/>
        </w:rPr>
        <w:t>«</w:t>
      </w:r>
      <w:r w:rsidRPr="002E7C89">
        <w:t>–</w:t>
      </w:r>
      <w:proofErr w:type="gramEnd"/>
      <w:r w:rsidRPr="002E7C89">
        <w:rPr>
          <w:rFonts w:eastAsia="Batang"/>
          <w:lang w:eastAsia="ko-KR"/>
        </w:rPr>
        <w:t>»</w:t>
      </w:r>
      <w:r w:rsidRPr="002E7C89">
        <w:t xml:space="preserve"> в первой левой ячейке соответствующей строки (графы) декларации.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При составлении декларации:</w:t>
      </w:r>
    </w:p>
    <w:p w:rsidR="00242473" w:rsidRPr="002E7C89" w:rsidRDefault="00242473" w:rsidP="00496393">
      <w:pPr>
        <w:pStyle w:val="a5"/>
        <w:widowControl w:val="0"/>
        <w:tabs>
          <w:tab w:val="left" w:pos="993"/>
          <w:tab w:val="left" w:pos="1134"/>
          <w:tab w:val="left" w:pos="3276"/>
        </w:tabs>
        <w:jc w:val="both"/>
      </w:pPr>
      <w:r w:rsidRPr="002E7C89"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242473" w:rsidRPr="002E7C89" w:rsidRDefault="00242473" w:rsidP="00496393">
      <w:pPr>
        <w:pStyle w:val="a5"/>
        <w:widowControl w:val="0"/>
        <w:tabs>
          <w:tab w:val="left" w:pos="993"/>
          <w:tab w:val="left" w:pos="3276"/>
        </w:tabs>
        <w:jc w:val="both"/>
        <w:rPr>
          <w:rFonts w:eastAsia="Batang"/>
        </w:rPr>
      </w:pPr>
      <w:r w:rsidRPr="002E7C89">
        <w:t xml:space="preserve">2) </w:t>
      </w:r>
      <w:r w:rsidR="001F51AE">
        <w:rPr>
          <w:rFonts w:eastAsia="Batang"/>
        </w:rPr>
        <w:t>в</w:t>
      </w:r>
      <w:r w:rsidRPr="002E7C89">
        <w:rPr>
          <w:rFonts w:eastAsia="Batang"/>
        </w:rPr>
        <w:t xml:space="preserve"> электронно</w:t>
      </w:r>
      <w:r w:rsidR="000359E3">
        <w:rPr>
          <w:rFonts w:eastAsia="Batang"/>
        </w:rPr>
        <w:t>й</w:t>
      </w:r>
      <w:r w:rsidRPr="002E7C89">
        <w:rPr>
          <w:rFonts w:eastAsia="Batang"/>
        </w:rPr>
        <w:t xml:space="preserve"> </w:t>
      </w:r>
      <w:r w:rsidR="000359E3">
        <w:rPr>
          <w:rFonts w:eastAsia="Batang"/>
        </w:rPr>
        <w:t>форме</w:t>
      </w:r>
      <w:r w:rsidRPr="002E7C89">
        <w:rPr>
          <w:rFonts w:eastAsia="Batang"/>
        </w:rPr>
        <w:t xml:space="preserve"> </w:t>
      </w:r>
      <w:r w:rsidRPr="002E7C89">
        <w:t>–</w:t>
      </w:r>
      <w:r w:rsidRPr="002E7C89">
        <w:rPr>
          <w:rFonts w:eastAsia="Batang"/>
        </w:rPr>
        <w:t xml:space="preserve"> заполняется в соответствии со статьей</w:t>
      </w:r>
      <w:r w:rsidR="004F2291">
        <w:rPr>
          <w:rFonts w:eastAsia="Batang"/>
        </w:rPr>
        <w:t xml:space="preserve"> </w:t>
      </w:r>
      <w:r w:rsidR="000359E3">
        <w:rPr>
          <w:rFonts w:eastAsia="Batang"/>
        </w:rPr>
        <w:t>208</w:t>
      </w:r>
      <w:r w:rsidRPr="002E7C89">
        <w:rPr>
          <w:rFonts w:eastAsia="Batang"/>
        </w:rPr>
        <w:t xml:space="preserve"> Налогового кодекса.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gramStart"/>
      <w:r w:rsidRPr="002E7C89">
        <w:rPr>
          <w:rFonts w:eastAsia="Batang"/>
          <w:lang w:eastAsia="ko-KR"/>
        </w:rPr>
        <w:t xml:space="preserve">Декларация </w:t>
      </w:r>
      <w:r w:rsidR="005B7674">
        <w:rPr>
          <w:rFonts w:eastAsia="Batang"/>
          <w:lang w:eastAsia="ko-KR"/>
        </w:rPr>
        <w:t xml:space="preserve">составляется, </w:t>
      </w:r>
      <w:r w:rsidR="000359E3" w:rsidRPr="00DB4122">
        <w:rPr>
          <w:rFonts w:eastAsia="Batang"/>
          <w:lang w:eastAsia="ko-KR"/>
        </w:rPr>
        <w:t>подписывается</w:t>
      </w:r>
      <w:r w:rsidR="005B7674">
        <w:rPr>
          <w:rFonts w:eastAsia="Batang"/>
          <w:lang w:eastAsia="ko-KR"/>
        </w:rPr>
        <w:t xml:space="preserve">, </w:t>
      </w:r>
      <w:r w:rsidR="000359E3" w:rsidRPr="00DB4122">
        <w:rPr>
          <w:rFonts w:eastAsia="Batang"/>
          <w:lang w:eastAsia="ko-KR"/>
        </w:rPr>
        <w:t>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кодекса.</w:t>
      </w:r>
      <w:proofErr w:type="gramEnd"/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При представлении декларации:</w:t>
      </w:r>
    </w:p>
    <w:p w:rsidR="00242473" w:rsidRPr="002E7C89" w:rsidRDefault="00242473" w:rsidP="000359E3">
      <w:pPr>
        <w:pStyle w:val="a5"/>
        <w:widowControl w:val="0"/>
        <w:numPr>
          <w:ilvl w:val="0"/>
          <w:numId w:val="2"/>
        </w:numPr>
        <w:tabs>
          <w:tab w:val="clear" w:pos="927"/>
          <w:tab w:val="left" w:pos="0"/>
          <w:tab w:val="left" w:pos="1134"/>
        </w:tabs>
        <w:ind w:left="0" w:firstLine="720"/>
        <w:jc w:val="both"/>
      </w:pPr>
      <w:r w:rsidRPr="002E7C89">
        <w:t>в явочном порядке на бумажном носителе – составляется в двух экземплярах, один экземпляр возвращается налогоплательщику</w:t>
      </w:r>
      <w:r w:rsidR="001F51AE">
        <w:t xml:space="preserve"> (налоговому агенту)</w:t>
      </w:r>
      <w:r w:rsidRPr="002E7C89">
        <w:t xml:space="preserve"> с отметкой </w:t>
      </w:r>
      <w:r w:rsidR="000359E3" w:rsidRPr="00DB4122">
        <w:rPr>
          <w:rStyle w:val="s0"/>
        </w:rPr>
        <w:t xml:space="preserve">фамилии, имени, отчества </w:t>
      </w:r>
      <w:r w:rsidR="000359E3" w:rsidRPr="00DB4122">
        <w:rPr>
          <w:color w:val="000000"/>
        </w:rPr>
        <w:t>(</w:t>
      </w:r>
      <w:r w:rsidR="001F51AE">
        <w:rPr>
          <w:color w:val="000000"/>
        </w:rPr>
        <w:t>при его наличии</w:t>
      </w:r>
      <w:r w:rsidR="004F2291">
        <w:rPr>
          <w:color w:val="000000"/>
        </w:rPr>
        <w:t>)</w:t>
      </w:r>
      <w:r w:rsidR="004F2291">
        <w:rPr>
          <w:color w:val="000000"/>
        </w:rPr>
        <w:br/>
      </w:r>
      <w:r w:rsidR="000359E3" w:rsidRPr="00DB4122">
        <w:t xml:space="preserve">и подписью работника </w:t>
      </w:r>
      <w:r w:rsidRPr="002E7C89">
        <w:t>органа</w:t>
      </w:r>
      <w:r w:rsidR="002A2099" w:rsidRPr="002A2099">
        <w:t xml:space="preserve"> государственных доходов</w:t>
      </w:r>
      <w:r w:rsidR="000359E3">
        <w:t>, принявшего д</w:t>
      </w:r>
      <w:r w:rsidR="000359E3" w:rsidRPr="00DB4122">
        <w:t>екларацию и оттиском печати (штампа)</w:t>
      </w:r>
      <w:r w:rsidRPr="002E7C89">
        <w:t>;</w:t>
      </w:r>
    </w:p>
    <w:p w:rsidR="00242473" w:rsidRPr="002E7C89" w:rsidRDefault="00242473" w:rsidP="000359E3">
      <w:pPr>
        <w:pStyle w:val="a5"/>
        <w:widowControl w:val="0"/>
        <w:numPr>
          <w:ilvl w:val="0"/>
          <w:numId w:val="2"/>
        </w:numPr>
        <w:tabs>
          <w:tab w:val="clear" w:pos="927"/>
          <w:tab w:val="left" w:pos="0"/>
          <w:tab w:val="left" w:pos="1134"/>
        </w:tabs>
        <w:ind w:left="0" w:firstLine="720"/>
        <w:jc w:val="both"/>
      </w:pPr>
      <w:r w:rsidRPr="002E7C89">
        <w:t>по почте заказным письмом с уведомлением на бумажном</w:t>
      </w:r>
      <w:r w:rsidR="004F2291">
        <w:br/>
      </w:r>
      <w:r w:rsidRPr="002E7C89">
        <w:t>носителе – налогоплательщик получает уведомление почтовой или иной организации связи;</w:t>
      </w:r>
    </w:p>
    <w:p w:rsidR="00242473" w:rsidRPr="002E7C89" w:rsidRDefault="00242473" w:rsidP="000359E3">
      <w:pPr>
        <w:pStyle w:val="a5"/>
        <w:widowControl w:val="0"/>
        <w:numPr>
          <w:ilvl w:val="0"/>
          <w:numId w:val="2"/>
        </w:numPr>
        <w:tabs>
          <w:tab w:val="clear" w:pos="927"/>
          <w:tab w:val="left" w:pos="0"/>
          <w:tab w:val="left" w:pos="1134"/>
        </w:tabs>
        <w:ind w:left="0" w:firstLine="720"/>
        <w:jc w:val="both"/>
      </w:pPr>
      <w:r w:rsidRPr="002E7C89">
        <w:t>в электронно</w:t>
      </w:r>
      <w:r w:rsidR="000359E3">
        <w:t>й</w:t>
      </w:r>
      <w:r w:rsidRPr="002E7C89">
        <w:t xml:space="preserve"> </w:t>
      </w:r>
      <w:r w:rsidR="000359E3">
        <w:t xml:space="preserve">форме, </w:t>
      </w:r>
      <w:r w:rsidR="000359E3" w:rsidRPr="00DB4122">
        <w:t>допускающем компьютерную обработку информации</w:t>
      </w:r>
      <w:r w:rsidRPr="002E7C89">
        <w:t xml:space="preserve"> – налогоплательщик </w:t>
      </w:r>
      <w:r w:rsidR="001F51AE">
        <w:t xml:space="preserve">(налоговый агент) </w:t>
      </w:r>
      <w:r w:rsidRPr="002E7C89">
        <w:t xml:space="preserve">получает уведомление о принятии или непринятии налоговой отчетности системой приема налоговой отчетности органов </w:t>
      </w:r>
      <w:r w:rsidR="002A2099" w:rsidRPr="002A2099">
        <w:t>государственных доходов</w:t>
      </w:r>
      <w:r w:rsidRPr="002E7C89">
        <w:t>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Batang"/>
          <w:lang w:eastAsia="ko-KR"/>
        </w:rPr>
      </w:pPr>
      <w:r w:rsidRPr="002E7C89">
        <w:rPr>
          <w:rFonts w:eastAsia="Batang"/>
          <w:lang w:eastAsia="ko-KR"/>
        </w:rPr>
        <w:t>В разделах «Общая информация о налогоплательщике» приложения указываются соответствующие данные, отраженные в разделе «Общая информация о налогоплательщике» декларации.</w:t>
      </w:r>
    </w:p>
    <w:p w:rsidR="00242473" w:rsidRDefault="00242473" w:rsidP="00496393">
      <w:pPr>
        <w:pStyle w:val="a5"/>
        <w:widowControl w:val="0"/>
        <w:tabs>
          <w:tab w:val="left" w:pos="0"/>
          <w:tab w:val="left" w:pos="993"/>
        </w:tabs>
        <w:ind w:firstLine="0"/>
        <w:jc w:val="both"/>
      </w:pPr>
    </w:p>
    <w:p w:rsidR="00267D6B" w:rsidRPr="002E7C89" w:rsidRDefault="00267D6B" w:rsidP="00496393">
      <w:pPr>
        <w:pStyle w:val="a5"/>
        <w:widowControl w:val="0"/>
        <w:tabs>
          <w:tab w:val="left" w:pos="0"/>
          <w:tab w:val="left" w:pos="993"/>
        </w:tabs>
        <w:ind w:firstLine="0"/>
        <w:jc w:val="both"/>
      </w:pPr>
    </w:p>
    <w:p w:rsidR="00242473" w:rsidRPr="002E7C89" w:rsidRDefault="000359E3" w:rsidP="004F2291">
      <w:pPr>
        <w:pStyle w:val="a3"/>
        <w:widowControl w:val="0"/>
        <w:tabs>
          <w:tab w:val="left" w:pos="1440"/>
        </w:tabs>
        <w:rPr>
          <w:b/>
          <w:bCs/>
        </w:rPr>
      </w:pPr>
      <w:r>
        <w:rPr>
          <w:b/>
          <w:bCs/>
        </w:rPr>
        <w:t>Глава 2. Пояснение по заполнению</w:t>
      </w:r>
      <w:r w:rsidR="00242473" w:rsidRPr="002E7C89">
        <w:rPr>
          <w:b/>
          <w:bCs/>
        </w:rPr>
        <w:t xml:space="preserve"> декларации (форма 710.00)</w:t>
      </w:r>
    </w:p>
    <w:p w:rsidR="00242473" w:rsidRPr="002E7C89" w:rsidRDefault="00242473" w:rsidP="00496393">
      <w:pPr>
        <w:pStyle w:val="a3"/>
        <w:widowControl w:val="0"/>
        <w:jc w:val="both"/>
        <w:rPr>
          <w:b/>
          <w:bCs/>
        </w:rPr>
      </w:pP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В разделе «Общая информация о налогоплательщике» налогоплательщик указывает следующие данные:</w:t>
      </w:r>
    </w:p>
    <w:p w:rsidR="00242473" w:rsidRDefault="004F2291" w:rsidP="004F2291">
      <w:pPr>
        <w:pStyle w:val="3"/>
        <w:widowControl w:val="0"/>
        <w:tabs>
          <w:tab w:val="left" w:pos="1134"/>
          <w:tab w:val="left" w:pos="1418"/>
        </w:tabs>
        <w:ind w:firstLine="709"/>
      </w:pPr>
      <w:r w:rsidRPr="004F2291">
        <w:t>1)</w:t>
      </w:r>
      <w:r w:rsidRPr="004F2291">
        <w:tab/>
        <w:t>индивидуальный идентификационный номер (бизне</w:t>
      </w:r>
      <w:proofErr w:type="gramStart"/>
      <w:r w:rsidRPr="004F2291">
        <w:t>с-</w:t>
      </w:r>
      <w:proofErr w:type="gramEnd"/>
      <w:r w:rsidRPr="004F2291">
        <w:t xml:space="preserve"> </w:t>
      </w:r>
      <w:r w:rsidR="00242473" w:rsidRPr="002E7C89">
        <w:t>идентификационный номер) налогоплательщика;</w:t>
      </w:r>
    </w:p>
    <w:p w:rsidR="00242473" w:rsidRPr="002E7C89" w:rsidRDefault="00242473" w:rsidP="004F2291">
      <w:pPr>
        <w:pStyle w:val="3"/>
        <w:widowControl w:val="0"/>
        <w:suppressAutoHyphens/>
        <w:ind w:firstLine="709"/>
      </w:pPr>
      <w:r>
        <w:t>2</w:t>
      </w:r>
      <w:r w:rsidRPr="002E7C89">
        <w:t xml:space="preserve">) </w:t>
      </w:r>
      <w:r w:rsidR="00814DDB">
        <w:t>Фамилия, имя, отчество (при его наличии)</w:t>
      </w:r>
      <w:r w:rsidRPr="002E7C89">
        <w:t xml:space="preserve"> или наименование налогоплательщика</w:t>
      </w:r>
      <w:r w:rsidR="000359E3">
        <w:t xml:space="preserve"> – </w:t>
      </w:r>
      <w:r w:rsidR="00814DDB">
        <w:t>Фамилия, имя, отчество (при его наличии)</w:t>
      </w:r>
      <w:r w:rsidRPr="002E7C89">
        <w:t xml:space="preserve"> физического лица или наименование юридического лица в соответствии с учредительными </w:t>
      </w:r>
      <w:r w:rsidRPr="002E7C89">
        <w:lastRenderedPageBreak/>
        <w:t>документами.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</w:t>
      </w:r>
      <w:r w:rsidR="00814DDB">
        <w:t>фамилия, имя, отчество (при его наличии)</w:t>
      </w:r>
      <w:r w:rsidRPr="002E7C89">
        <w:t xml:space="preserve"> физического лица-доверительного управляющего или наименование юридического лица-доверительного управляющего в соответствии с учредительными документами;</w:t>
      </w:r>
    </w:p>
    <w:p w:rsidR="00242473" w:rsidRPr="002E7C89" w:rsidRDefault="00242473" w:rsidP="00496393">
      <w:pPr>
        <w:pStyle w:val="a5"/>
        <w:widowControl w:val="0"/>
        <w:tabs>
          <w:tab w:val="left" w:pos="709"/>
          <w:tab w:val="left" w:pos="851"/>
        </w:tabs>
        <w:jc w:val="both"/>
      </w:pPr>
      <w:r>
        <w:t>3</w:t>
      </w:r>
      <w:r w:rsidRPr="002E7C89">
        <w:t>) налоговый период, за который представляется налоговая отчетность, (</w:t>
      </w:r>
      <w:r w:rsidR="00F91BD7">
        <w:t>указывается арабскими цифрами);</w:t>
      </w:r>
    </w:p>
    <w:p w:rsidR="00242473" w:rsidRDefault="00242473" w:rsidP="00496393">
      <w:pPr>
        <w:pStyle w:val="3"/>
        <w:widowControl w:val="0"/>
      </w:pPr>
      <w:r>
        <w:t>4</w:t>
      </w:r>
      <w:r w:rsidRPr="002E7C89">
        <w:t xml:space="preserve">) вид декларации. 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Соответствующие ячейки отмечаются с учетом отнесения декларации к видам налоговой отчетности, указанным в статье </w:t>
      </w:r>
      <w:r w:rsidR="000359E3">
        <w:t>206</w:t>
      </w:r>
      <w:r w:rsidRPr="002E7C89">
        <w:t xml:space="preserve"> Налогового кодекса;</w:t>
      </w:r>
    </w:p>
    <w:p w:rsidR="00242473" w:rsidRDefault="00242473" w:rsidP="00496393">
      <w:pPr>
        <w:pStyle w:val="3"/>
        <w:widowControl w:val="0"/>
      </w:pPr>
      <w:r>
        <w:t>5</w:t>
      </w:r>
      <w:r w:rsidRPr="002E7C89">
        <w:t xml:space="preserve">) номер и дата уведомления. </w:t>
      </w:r>
    </w:p>
    <w:p w:rsidR="00242473" w:rsidRPr="002E7C89" w:rsidRDefault="00242473" w:rsidP="00496393">
      <w:pPr>
        <w:pStyle w:val="3"/>
        <w:widowControl w:val="0"/>
      </w:pPr>
      <w:r w:rsidRPr="002E7C89">
        <w:t>Ячейки</w:t>
      </w:r>
      <w:proofErr w:type="gramStart"/>
      <w:r w:rsidRPr="002E7C89">
        <w:t xml:space="preserve"> А</w:t>
      </w:r>
      <w:proofErr w:type="gramEnd"/>
      <w:r w:rsidRPr="002E7C89">
        <w:t xml:space="preserve"> и В заполняются в случае представления вида декларации, предусмотренного подпунктом 4) пункта 3 статьи </w:t>
      </w:r>
      <w:r w:rsidR="000359E3">
        <w:t>206</w:t>
      </w:r>
      <w:r w:rsidRPr="002E7C89">
        <w:t xml:space="preserve"> Налогового кодекса;</w:t>
      </w:r>
    </w:p>
    <w:p w:rsidR="00242473" w:rsidRPr="002E7C89" w:rsidRDefault="00242473" w:rsidP="00496393">
      <w:pPr>
        <w:pStyle w:val="3"/>
        <w:widowControl w:val="0"/>
        <w:suppressAutoHyphens/>
        <w:ind w:firstLine="709"/>
        <w:rPr>
          <w:highlight w:val="yellow"/>
          <w:lang w:val="kk-KZ"/>
        </w:rPr>
      </w:pPr>
      <w:r>
        <w:t>6</w:t>
      </w:r>
      <w:r w:rsidRPr="002E7C89">
        <w:t xml:space="preserve">) </w:t>
      </w:r>
      <w:r w:rsidR="00193A23">
        <w:t xml:space="preserve">отдельные </w:t>
      </w:r>
      <w:r w:rsidRPr="002E7C89">
        <w:t>категори</w:t>
      </w:r>
      <w:r w:rsidR="00193A23">
        <w:t xml:space="preserve">и </w:t>
      </w:r>
      <w:r w:rsidRPr="002E7C89">
        <w:t>налогоплательщика</w:t>
      </w:r>
      <w:r w:rsidR="00193A23">
        <w:t xml:space="preserve"> в соответствии со статьей 40 Налогового кодекса</w:t>
      </w:r>
      <w:r w:rsidRPr="002E7C89">
        <w:t xml:space="preserve">. </w:t>
      </w:r>
    </w:p>
    <w:p w:rsidR="00242473" w:rsidRPr="002E7C89" w:rsidRDefault="00242473" w:rsidP="00496393">
      <w:pPr>
        <w:pStyle w:val="3"/>
        <w:widowControl w:val="0"/>
        <w:suppressAutoHyphens/>
        <w:ind w:firstLine="709"/>
      </w:pPr>
      <w:r w:rsidRPr="002E7C89">
        <w:t>Ячейки отмечаются в случае, если налогоплательщик относится к одной из категорий, указанных в строке A или B;</w:t>
      </w:r>
    </w:p>
    <w:p w:rsidR="00242473" w:rsidRPr="002E7C89" w:rsidRDefault="00242473" w:rsidP="00496393">
      <w:pPr>
        <w:pStyle w:val="3"/>
        <w:widowControl w:val="0"/>
        <w:suppressAutoHyphens/>
        <w:ind w:firstLine="709"/>
        <w:rPr>
          <w:lang w:val="kk-KZ"/>
        </w:rPr>
      </w:pPr>
      <w:r w:rsidRPr="002E7C89">
        <w:t>А –</w:t>
      </w:r>
      <w:r w:rsidR="00193A23">
        <w:t xml:space="preserve"> </w:t>
      </w:r>
      <w:r w:rsidRPr="002E7C89">
        <w:t>доверительны</w:t>
      </w:r>
      <w:r w:rsidR="00193A23">
        <w:t xml:space="preserve">й </w:t>
      </w:r>
      <w:r w:rsidRPr="002E7C89">
        <w:t>управляющи</w:t>
      </w:r>
      <w:r w:rsidR="00193A23">
        <w:t>й;</w:t>
      </w:r>
    </w:p>
    <w:p w:rsidR="00242473" w:rsidRPr="002E7C89" w:rsidRDefault="00242473" w:rsidP="00496393">
      <w:pPr>
        <w:pStyle w:val="3"/>
        <w:widowControl w:val="0"/>
        <w:suppressAutoHyphens/>
        <w:ind w:firstLine="709"/>
      </w:pPr>
      <w:r w:rsidRPr="002E7C89">
        <w:t>В –</w:t>
      </w:r>
      <w:r w:rsidR="00193A23">
        <w:t xml:space="preserve"> </w:t>
      </w:r>
      <w:r w:rsidRPr="002E7C89">
        <w:t>учредител</w:t>
      </w:r>
      <w:r w:rsidR="00193A23">
        <w:t xml:space="preserve">ь </w:t>
      </w:r>
      <w:r w:rsidRPr="002E7C89">
        <w:t>доверительного управления;</w:t>
      </w:r>
    </w:p>
    <w:p w:rsidR="00242473" w:rsidRPr="002E7C89" w:rsidRDefault="00242473" w:rsidP="00496393">
      <w:pPr>
        <w:pStyle w:val="3"/>
        <w:widowControl w:val="0"/>
        <w:suppressAutoHyphens/>
        <w:ind w:firstLine="709"/>
      </w:pPr>
      <w:r>
        <w:t>7</w:t>
      </w:r>
      <w:r w:rsidR="004F2291">
        <w:t>) категория плательщика.</w:t>
      </w:r>
    </w:p>
    <w:p w:rsidR="00242473" w:rsidRPr="002E7C89" w:rsidRDefault="00242473" w:rsidP="002C106E">
      <w:pPr>
        <w:ind w:firstLine="709"/>
        <w:jc w:val="both"/>
      </w:pPr>
      <w:r w:rsidRPr="002E7C89">
        <w:t xml:space="preserve">А </w:t>
      </w:r>
      <w:r w:rsidR="002C106E" w:rsidRPr="00EF0CE2">
        <w:t>–</w:t>
      </w:r>
      <w:r w:rsidRPr="002E7C89">
        <w:t xml:space="preserve"> </w:t>
      </w:r>
      <w:r w:rsidR="00193A23">
        <w:t>п</w:t>
      </w:r>
      <w:r w:rsidRPr="002E7C89">
        <w:t>лательщик</w:t>
      </w:r>
      <w:r w:rsidR="00193A23">
        <w:t xml:space="preserve"> </w:t>
      </w:r>
      <w:r w:rsidRPr="002E7C89">
        <w:t>налога на игорный бизнес</w:t>
      </w:r>
      <w:r w:rsidR="00193A23">
        <w:t xml:space="preserve"> в соответствии со статьей 534 Налогового кодекса</w:t>
      </w:r>
      <w:r w:rsidRPr="002E7C89">
        <w:t>;</w:t>
      </w:r>
    </w:p>
    <w:p w:rsidR="00242473" w:rsidRPr="002E7C89" w:rsidRDefault="00242473" w:rsidP="002C106E">
      <w:pPr>
        <w:ind w:firstLine="709"/>
        <w:jc w:val="both"/>
        <w:rPr>
          <w:lang w:val="kk-KZ"/>
        </w:rPr>
      </w:pPr>
      <w:r w:rsidRPr="002E7C89">
        <w:t xml:space="preserve">В </w:t>
      </w:r>
      <w:r w:rsidR="002C106E" w:rsidRPr="00EF0CE2">
        <w:t>–</w:t>
      </w:r>
      <w:r w:rsidRPr="002E7C89">
        <w:t xml:space="preserve"> пла</w:t>
      </w:r>
      <w:r w:rsidR="00267D6B">
        <w:t>тельщик</w:t>
      </w:r>
      <w:r w:rsidR="00193A23">
        <w:t xml:space="preserve"> </w:t>
      </w:r>
      <w:r w:rsidR="00267D6B">
        <w:t>фиксированного налога</w:t>
      </w:r>
      <w:r w:rsidR="00193A23">
        <w:t xml:space="preserve"> в соответствии со статьей 544 Налогового кодекса;</w:t>
      </w:r>
    </w:p>
    <w:p w:rsidR="00242473" w:rsidRPr="002E7C89" w:rsidRDefault="00242473" w:rsidP="00496393">
      <w:pPr>
        <w:widowControl w:val="0"/>
        <w:ind w:firstLine="708"/>
        <w:jc w:val="both"/>
        <w:rPr>
          <w:lang w:val="kk-KZ"/>
        </w:rPr>
      </w:pPr>
      <w:r w:rsidRPr="002E7C89">
        <w:rPr>
          <w:lang w:val="kk-KZ"/>
        </w:rPr>
        <w:t>В случае</w:t>
      </w:r>
      <w:r w:rsidRPr="002E7C89">
        <w:t xml:space="preserve">, </w:t>
      </w:r>
      <w:r w:rsidRPr="002E7C89">
        <w:rPr>
          <w:lang w:val="kk-KZ"/>
        </w:rPr>
        <w:t>если налогоплательщик одновременно является плательщиком налога на игорный бизнес и фиксированного налога отмечаются обе</w:t>
      </w:r>
      <w:r w:rsidR="004F2291">
        <w:rPr>
          <w:lang w:val="kk-KZ"/>
        </w:rPr>
        <w:br/>
      </w:r>
      <w:r w:rsidRPr="002E7C89">
        <w:rPr>
          <w:lang w:val="kk-KZ"/>
        </w:rPr>
        <w:t xml:space="preserve">ячейки А и В; </w:t>
      </w:r>
    </w:p>
    <w:p w:rsidR="00242473" w:rsidRPr="002E7C89" w:rsidRDefault="00242473" w:rsidP="00496393">
      <w:pPr>
        <w:pStyle w:val="3"/>
        <w:widowControl w:val="0"/>
      </w:pPr>
      <w:r>
        <w:t>8</w:t>
      </w:r>
      <w:r w:rsidRPr="002E7C89">
        <w:t xml:space="preserve">) код валюты в соответствии с приложением 23 </w:t>
      </w:r>
      <w:bookmarkStart w:id="1" w:name="sub1001584866"/>
      <w:r w:rsidRPr="002E7C89">
        <w:t xml:space="preserve">«Классификатор валют», утвержденным </w:t>
      </w:r>
      <w:hyperlink r:id="rId12" w:history="1">
        <w:proofErr w:type="gramStart"/>
        <w:r>
          <w:t>р</w:t>
        </w:r>
        <w:r w:rsidRPr="002E7C89">
          <w:t>ешени</w:t>
        </w:r>
      </w:hyperlink>
      <w:bookmarkEnd w:id="1"/>
      <w:r w:rsidRPr="002E7C89">
        <w:t>ем</w:t>
      </w:r>
      <w:proofErr w:type="gramEnd"/>
      <w:r w:rsidRPr="002E7C89">
        <w:t xml:space="preserve"> Комиссии Таможенного союза от 20 сентября</w:t>
      </w:r>
      <w:r w:rsidR="004F2291">
        <w:br/>
      </w:r>
      <w:r w:rsidRPr="002E7C89">
        <w:t>2010 года № 378 «О классификаторах, используемых для заполнения таможенных деклараций»;</w:t>
      </w:r>
    </w:p>
    <w:p w:rsidR="00242473" w:rsidRPr="002E7C89" w:rsidRDefault="00242473" w:rsidP="00496393">
      <w:pPr>
        <w:pStyle w:val="3"/>
        <w:widowControl w:val="0"/>
      </w:pPr>
      <w:r>
        <w:t>9</w:t>
      </w:r>
      <w:r w:rsidRPr="002E7C89">
        <w:t>) количество представленных приложений.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В разделе «Налог на игорный бизнес»:</w:t>
      </w:r>
    </w:p>
    <w:p w:rsidR="00242473" w:rsidRPr="002E7C89" w:rsidRDefault="00242473" w:rsidP="00496393">
      <w:pPr>
        <w:pStyle w:val="3"/>
        <w:widowControl w:val="0"/>
      </w:pPr>
      <w:r w:rsidRPr="002E7C89">
        <w:t>1) в строке 710.00.001 указывается общая сумма исчисленного налога на игорный бизнес, подлежащего уплате в бюджет за налоговый период, которая переносится из строки 710.</w:t>
      </w:r>
      <w:r w:rsidR="002C106E">
        <w:t>01.007</w:t>
      </w:r>
      <w:proofErr w:type="gramStart"/>
      <w:r w:rsidR="002C106E">
        <w:t xml:space="preserve"> С</w:t>
      </w:r>
      <w:proofErr w:type="gramEnd"/>
      <w:r w:rsidR="002C106E">
        <w:t xml:space="preserve"> по всем формам 710.01;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2) в строке 710.00.002 указывается общая сумма исчисленного дополнительного платежа, подлежащего уплате в бюджет за налоговый период, которая переносится из строки 710.01.012 C по всем формам 710.01. </w:t>
      </w:r>
    </w:p>
    <w:p w:rsidR="00242473" w:rsidRPr="002E7C89" w:rsidRDefault="005B7674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В р</w:t>
      </w:r>
      <w:r w:rsidR="00242473" w:rsidRPr="002E7C89">
        <w:t>аздел</w:t>
      </w:r>
      <w:r>
        <w:t>е</w:t>
      </w:r>
      <w:r w:rsidR="00242473" w:rsidRPr="002E7C89">
        <w:t xml:space="preserve"> «Фиксированный налог»: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в строке 710.00.003 указывается общая сумма исчисленного </w:t>
      </w:r>
      <w:r w:rsidRPr="002E7C89">
        <w:lastRenderedPageBreak/>
        <w:t>фиксированного налога, подлежащего уплате в бюджет за налоговый период, которая переносится из строки 710.02.00</w:t>
      </w:r>
      <w:r w:rsidR="005B7674">
        <w:t>9</w:t>
      </w:r>
      <w:proofErr w:type="gramStart"/>
      <w:r w:rsidRPr="002E7C89">
        <w:t xml:space="preserve"> С</w:t>
      </w:r>
      <w:proofErr w:type="gramEnd"/>
      <w:r w:rsidRPr="002E7C89">
        <w:t xml:space="preserve"> по всем формам 710.02.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В разделе «Ответственность налогоплательщика»:</w:t>
      </w:r>
    </w:p>
    <w:p w:rsidR="00242473" w:rsidRPr="002E7C89" w:rsidRDefault="00242473" w:rsidP="00496393">
      <w:pPr>
        <w:pStyle w:val="3"/>
        <w:widowControl w:val="0"/>
      </w:pPr>
      <w:proofErr w:type="gramStart"/>
      <w:r w:rsidRPr="002E7C89">
        <w:t>1) в поле «</w:t>
      </w:r>
      <w:r w:rsidR="00814DDB">
        <w:t>Фамилия, имя, отчество (при его наличии)</w:t>
      </w:r>
      <w:r w:rsidRPr="002E7C89">
        <w:t xml:space="preserve"> налогоплательщика (руководителя)» указывается </w:t>
      </w:r>
      <w:r w:rsidR="00814DDB">
        <w:t>фамилия, имя, отчество (при его наличии)</w:t>
      </w:r>
      <w:r w:rsidRPr="002E7C89">
        <w:t xml:space="preserve"> руководителя в соответствии с учредительными документами.</w:t>
      </w:r>
      <w:proofErr w:type="gramEnd"/>
      <w:r w:rsidRPr="002E7C89">
        <w:t xml:space="preserve"> В случае если декларация представляется физическим лицом, в поле указывается </w:t>
      </w:r>
      <w:r w:rsidR="00814DDB">
        <w:t>фамилия, имя, отчество (при его наличии)</w:t>
      </w:r>
      <w:r w:rsidRPr="002E7C89">
        <w:t xml:space="preserve"> налогоплательщика, </w:t>
      </w:r>
      <w:proofErr w:type="gramStart"/>
      <w:r w:rsidRPr="002E7C89">
        <w:t>которые</w:t>
      </w:r>
      <w:proofErr w:type="gramEnd"/>
      <w:r w:rsidRPr="002E7C89">
        <w:t xml:space="preserve"> заполняются в соответствии с документами, удостоверяющими личность;</w:t>
      </w:r>
    </w:p>
    <w:p w:rsidR="00242473" w:rsidRPr="002E7C89" w:rsidRDefault="00242473" w:rsidP="00496393">
      <w:pPr>
        <w:pStyle w:val="a5"/>
        <w:widowControl w:val="0"/>
        <w:tabs>
          <w:tab w:val="num" w:pos="1134"/>
        </w:tabs>
        <w:jc w:val="both"/>
      </w:pPr>
      <w:r w:rsidRPr="002E7C89">
        <w:t xml:space="preserve">2) </w:t>
      </w:r>
      <w:r w:rsidR="0034439A">
        <w:t xml:space="preserve">дата подачи декларации </w:t>
      </w:r>
      <w:r w:rsidR="0034439A" w:rsidRPr="0034439A">
        <w:t>–</w:t>
      </w:r>
      <w:r w:rsidR="0034439A">
        <w:t xml:space="preserve"> </w:t>
      </w:r>
      <w:r w:rsidRPr="002E7C89">
        <w:t xml:space="preserve">дата </w:t>
      </w:r>
      <w:r w:rsidR="0034439A">
        <w:t>представления</w:t>
      </w:r>
      <w:r w:rsidRPr="002E7C89">
        <w:t xml:space="preserve"> </w:t>
      </w:r>
      <w:r w:rsidRPr="002E7C89">
        <w:rPr>
          <w:rFonts w:eastAsia="Batang"/>
          <w:lang w:eastAsia="ko-KR"/>
        </w:rPr>
        <w:t>декларации в орган</w:t>
      </w:r>
      <w:r w:rsidR="002A2099" w:rsidRPr="002A2099">
        <w:t xml:space="preserve"> </w:t>
      </w:r>
      <w:r w:rsidR="002A2099" w:rsidRPr="002A2099">
        <w:rPr>
          <w:rFonts w:eastAsia="Batang"/>
          <w:lang w:eastAsia="ko-KR"/>
        </w:rPr>
        <w:t>государственных доходов</w:t>
      </w:r>
      <w:r w:rsidRPr="002E7C89">
        <w:rPr>
          <w:rFonts w:eastAsia="Batang"/>
          <w:lang w:eastAsia="ko-KR"/>
        </w:rPr>
        <w:t>;</w:t>
      </w:r>
    </w:p>
    <w:p w:rsidR="00242473" w:rsidRPr="002E7C89" w:rsidRDefault="00242473" w:rsidP="00496393">
      <w:pPr>
        <w:widowControl w:val="0"/>
        <w:ind w:firstLine="720"/>
        <w:jc w:val="both"/>
      </w:pPr>
      <w:r w:rsidRPr="002E7C89">
        <w:t xml:space="preserve">3) </w:t>
      </w:r>
      <w:r w:rsidR="0034439A">
        <w:t xml:space="preserve">код органа государственных доходов </w:t>
      </w:r>
      <w:r w:rsidR="0034439A" w:rsidRPr="0034439A">
        <w:t>–</w:t>
      </w:r>
      <w:r w:rsidR="0034439A">
        <w:t xml:space="preserve"> </w:t>
      </w:r>
      <w:r w:rsidRPr="002E7C89">
        <w:t>к</w:t>
      </w:r>
      <w:r w:rsidRPr="002E7C89">
        <w:rPr>
          <w:snapToGrid w:val="0"/>
        </w:rPr>
        <w:t>од органа</w:t>
      </w:r>
      <w:r w:rsidR="002A2099" w:rsidRPr="002A2099">
        <w:t xml:space="preserve"> </w:t>
      </w:r>
      <w:r w:rsidR="002A2099" w:rsidRPr="002A2099">
        <w:rPr>
          <w:snapToGrid w:val="0"/>
        </w:rPr>
        <w:t>государственных доходов</w:t>
      </w:r>
      <w:r w:rsidRPr="002E7C89">
        <w:rPr>
          <w:snapToGrid w:val="0"/>
        </w:rPr>
        <w:t xml:space="preserve"> </w:t>
      </w:r>
      <w:r w:rsidRPr="002E7C89">
        <w:t>по месту регистрационного учета в качестве налогоплательщика, осуществляющего отдельные виды деятельности;</w:t>
      </w:r>
    </w:p>
    <w:p w:rsidR="00242473" w:rsidRPr="002E7C89" w:rsidRDefault="00242473" w:rsidP="00496393">
      <w:pPr>
        <w:widowControl w:val="0"/>
        <w:ind w:firstLine="720"/>
        <w:jc w:val="both"/>
        <w:rPr>
          <w:snapToGrid w:val="0"/>
        </w:rPr>
      </w:pPr>
      <w:proofErr w:type="gramStart"/>
      <w:r w:rsidRPr="002E7C89">
        <w:rPr>
          <w:snapToGrid w:val="0"/>
        </w:rPr>
        <w:t>4) в поле «</w:t>
      </w:r>
      <w:r w:rsidR="00814DDB">
        <w:t>Фамилия, имя, отчество (при его наличии)</w:t>
      </w:r>
      <w:r w:rsidRPr="002E7C89">
        <w:rPr>
          <w:snapToGrid w:val="0"/>
        </w:rPr>
        <w:t xml:space="preserve"> должностного лица, принявшего декларацию» указывается </w:t>
      </w:r>
      <w:r w:rsidR="00814DDB">
        <w:rPr>
          <w:snapToGrid w:val="0"/>
        </w:rPr>
        <w:t>ф</w:t>
      </w:r>
      <w:r w:rsidR="00814DDB">
        <w:t>амилия, имя, отчество (при его наличии)</w:t>
      </w:r>
      <w:r w:rsidRPr="002E7C89">
        <w:rPr>
          <w:snapToGrid w:val="0"/>
        </w:rPr>
        <w:t xml:space="preserve"> работника органа</w:t>
      </w:r>
      <w:r w:rsidR="002A2099" w:rsidRPr="002A2099">
        <w:t xml:space="preserve"> </w:t>
      </w:r>
      <w:r w:rsidR="002A2099" w:rsidRPr="002A2099">
        <w:rPr>
          <w:snapToGrid w:val="0"/>
        </w:rPr>
        <w:t>государственных доходов</w:t>
      </w:r>
      <w:r w:rsidRPr="002E7C89">
        <w:rPr>
          <w:snapToGrid w:val="0"/>
        </w:rPr>
        <w:t>, принявшего декларацию;</w:t>
      </w:r>
      <w:proofErr w:type="gramEnd"/>
    </w:p>
    <w:p w:rsidR="00242473" w:rsidRPr="002E7C89" w:rsidRDefault="00242473" w:rsidP="00496393">
      <w:pPr>
        <w:widowControl w:val="0"/>
        <w:ind w:firstLine="720"/>
        <w:jc w:val="both"/>
        <w:rPr>
          <w:snapToGrid w:val="0"/>
        </w:rPr>
      </w:pPr>
      <w:r w:rsidRPr="002E7C89">
        <w:rPr>
          <w:snapToGrid w:val="0"/>
        </w:rPr>
        <w:t xml:space="preserve">5) </w:t>
      </w:r>
      <w:r w:rsidR="006F6525">
        <w:rPr>
          <w:snapToGrid w:val="0"/>
        </w:rPr>
        <w:t xml:space="preserve">дата приема декларации </w:t>
      </w:r>
      <w:r w:rsidR="006F6525" w:rsidRPr="006F6525">
        <w:rPr>
          <w:snapToGrid w:val="0"/>
        </w:rPr>
        <w:t>–</w:t>
      </w:r>
      <w:r w:rsidR="006F6525">
        <w:rPr>
          <w:snapToGrid w:val="0"/>
        </w:rPr>
        <w:t xml:space="preserve"> </w:t>
      </w:r>
      <w:r w:rsidRPr="002E7C89">
        <w:rPr>
          <w:snapToGrid w:val="0"/>
        </w:rPr>
        <w:t xml:space="preserve">дата </w:t>
      </w:r>
      <w:r w:rsidR="006F6525">
        <w:rPr>
          <w:snapToGrid w:val="0"/>
        </w:rPr>
        <w:t>представления</w:t>
      </w:r>
      <w:r w:rsidRPr="002E7C89">
        <w:rPr>
          <w:snapToGrid w:val="0"/>
        </w:rPr>
        <w:t xml:space="preserve"> декларации в соответствии с пунктом 2 статьи </w:t>
      </w:r>
      <w:r w:rsidR="00F314C0">
        <w:rPr>
          <w:snapToGrid w:val="0"/>
        </w:rPr>
        <w:t>209</w:t>
      </w:r>
      <w:r w:rsidRPr="002E7C89">
        <w:rPr>
          <w:snapToGrid w:val="0"/>
        </w:rPr>
        <w:t xml:space="preserve"> Налогового кодекса;</w:t>
      </w:r>
    </w:p>
    <w:p w:rsidR="00242473" w:rsidRPr="002E7C89" w:rsidRDefault="00242473" w:rsidP="00496393">
      <w:pPr>
        <w:widowControl w:val="0"/>
        <w:tabs>
          <w:tab w:val="left" w:pos="1260"/>
        </w:tabs>
        <w:ind w:firstLine="720"/>
        <w:jc w:val="both"/>
        <w:rPr>
          <w:snapToGrid w:val="0"/>
        </w:rPr>
      </w:pPr>
      <w:r w:rsidRPr="002E7C89">
        <w:rPr>
          <w:snapToGrid w:val="0"/>
        </w:rPr>
        <w:t xml:space="preserve">6) входящий номер документа </w:t>
      </w:r>
      <w:r w:rsidR="006F6525" w:rsidRPr="006F6525">
        <w:rPr>
          <w:snapToGrid w:val="0"/>
        </w:rPr>
        <w:t>–</w:t>
      </w:r>
      <w:r w:rsidR="006F6525">
        <w:rPr>
          <w:snapToGrid w:val="0"/>
        </w:rPr>
        <w:t xml:space="preserve"> </w:t>
      </w:r>
      <w:r w:rsidRPr="002E7C89">
        <w:rPr>
          <w:snapToGrid w:val="0"/>
        </w:rPr>
        <w:t>регистрационный номер декларации, присваиваемый органом</w:t>
      </w:r>
      <w:r w:rsidR="002A2099" w:rsidRPr="002A2099">
        <w:t xml:space="preserve"> </w:t>
      </w:r>
      <w:r w:rsidR="002A2099" w:rsidRPr="002A2099">
        <w:rPr>
          <w:snapToGrid w:val="0"/>
        </w:rPr>
        <w:t>государственных доходов</w:t>
      </w:r>
      <w:r w:rsidR="002C106E">
        <w:rPr>
          <w:snapToGrid w:val="0"/>
        </w:rPr>
        <w:t>;</w:t>
      </w:r>
    </w:p>
    <w:p w:rsidR="00242473" w:rsidRPr="002E7C89" w:rsidRDefault="00242473" w:rsidP="00496393">
      <w:pPr>
        <w:widowControl w:val="0"/>
        <w:ind w:firstLine="720"/>
        <w:jc w:val="both"/>
        <w:rPr>
          <w:snapToGrid w:val="0"/>
        </w:rPr>
      </w:pPr>
      <w:r w:rsidRPr="002E7C89">
        <w:rPr>
          <w:snapToGrid w:val="0"/>
        </w:rPr>
        <w:t xml:space="preserve">7) </w:t>
      </w:r>
      <w:r w:rsidR="006F6525">
        <w:rPr>
          <w:snapToGrid w:val="0"/>
        </w:rPr>
        <w:t xml:space="preserve">дата почтового штемпеля </w:t>
      </w:r>
      <w:r w:rsidR="006F6525" w:rsidRPr="006F6525">
        <w:rPr>
          <w:snapToGrid w:val="0"/>
        </w:rPr>
        <w:t>–</w:t>
      </w:r>
      <w:r w:rsidR="006F6525">
        <w:rPr>
          <w:snapToGrid w:val="0"/>
        </w:rPr>
        <w:t xml:space="preserve"> </w:t>
      </w:r>
      <w:r w:rsidRPr="002E7C89">
        <w:rPr>
          <w:snapToGrid w:val="0"/>
        </w:rPr>
        <w:t>дата почтового штемпеля, проставленного почтовой или иной организацией связи.</w:t>
      </w:r>
    </w:p>
    <w:p w:rsidR="00F314C0" w:rsidRPr="00DB4122" w:rsidRDefault="00F314C0" w:rsidP="00F314C0">
      <w:pPr>
        <w:ind w:firstLine="709"/>
        <w:jc w:val="both"/>
        <w:rPr>
          <w:color w:val="000000"/>
          <w:lang w:val="kk-KZ"/>
        </w:rPr>
      </w:pPr>
      <w:bookmarkStart w:id="2" w:name="sub1000102684"/>
      <w:bookmarkEnd w:id="2"/>
      <w:r w:rsidRPr="00DB4122">
        <w:rPr>
          <w:color w:val="000000"/>
          <w:lang w:val="kk-KZ"/>
        </w:rPr>
        <w:t>Подпункты 4), 5), 6)</w:t>
      </w:r>
      <w:r w:rsidR="006F6525">
        <w:rPr>
          <w:color w:val="000000"/>
          <w:lang w:val="kk-KZ"/>
        </w:rPr>
        <w:t xml:space="preserve"> и</w:t>
      </w:r>
      <w:r w:rsidRPr="00DB4122">
        <w:rPr>
          <w:color w:val="000000"/>
          <w:lang w:val="kk-KZ"/>
        </w:rPr>
        <w:t xml:space="preserve"> 7) </w:t>
      </w:r>
      <w:r w:rsidR="00D45C65">
        <w:rPr>
          <w:color w:val="000000"/>
          <w:lang w:val="kk-KZ"/>
        </w:rPr>
        <w:t xml:space="preserve">настоящего </w:t>
      </w:r>
      <w:r w:rsidRPr="00DB4122">
        <w:rPr>
          <w:color w:val="000000"/>
          <w:lang w:val="kk-KZ"/>
        </w:rPr>
        <w:t>пункта заполняются работником органа государственных доходов, принявшим декларацию на бумажном носителе.</w:t>
      </w:r>
    </w:p>
    <w:p w:rsidR="00242473" w:rsidRPr="004F2291" w:rsidRDefault="00242473" w:rsidP="00496393">
      <w:pPr>
        <w:pStyle w:val="3"/>
        <w:widowControl w:val="0"/>
        <w:ind w:firstLine="0"/>
        <w:rPr>
          <w:lang w:val="kk-KZ"/>
        </w:rPr>
      </w:pPr>
    </w:p>
    <w:p w:rsidR="00267D6B" w:rsidRPr="002E7C89" w:rsidRDefault="00267D6B" w:rsidP="00496393">
      <w:pPr>
        <w:pStyle w:val="3"/>
        <w:widowControl w:val="0"/>
        <w:ind w:firstLine="0"/>
      </w:pPr>
    </w:p>
    <w:p w:rsidR="00242473" w:rsidRPr="002E7C89" w:rsidRDefault="000359E3" w:rsidP="004F2291">
      <w:pPr>
        <w:pStyle w:val="3"/>
        <w:widowControl w:val="0"/>
        <w:ind w:left="480" w:firstLine="0"/>
        <w:jc w:val="center"/>
        <w:rPr>
          <w:b/>
          <w:bCs/>
        </w:rPr>
      </w:pPr>
      <w:r>
        <w:rPr>
          <w:b/>
          <w:bCs/>
        </w:rPr>
        <w:t>Глава 3. Пояснение по заполнению</w:t>
      </w:r>
      <w:r w:rsidR="00242473" w:rsidRPr="002E7C89">
        <w:rPr>
          <w:b/>
          <w:bCs/>
        </w:rPr>
        <w:t xml:space="preserve"> формы 710.01</w:t>
      </w:r>
    </w:p>
    <w:p w:rsidR="00B6292E" w:rsidRDefault="00B6292E" w:rsidP="00496393">
      <w:pPr>
        <w:widowControl w:val="0"/>
        <w:suppressAutoHyphens/>
        <w:ind w:firstLine="709"/>
        <w:jc w:val="both"/>
        <w:rPr>
          <w:b/>
          <w:bCs/>
        </w:rPr>
      </w:pP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Форма 710.01 предназначена для отражения информации об исчислении суммы налога на игорный бизнес по всем объектам обложения</w:t>
      </w:r>
      <w:r w:rsidR="00F91BD7">
        <w:br/>
      </w:r>
      <w:r w:rsidRPr="002E7C89">
        <w:t xml:space="preserve">(при их наличии), определенным статьей </w:t>
      </w:r>
      <w:r w:rsidR="00F314C0">
        <w:t>535</w:t>
      </w:r>
      <w:r w:rsidRPr="002E7C89">
        <w:t xml:space="preserve"> Налогового кодекса, за налоговый период (квартал).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В разделе «Общая информация о налогоплательщике»:</w:t>
      </w:r>
    </w:p>
    <w:p w:rsidR="00242473" w:rsidRPr="002E7C89" w:rsidRDefault="00242473" w:rsidP="00496393">
      <w:pPr>
        <w:pStyle w:val="3"/>
        <w:widowControl w:val="0"/>
        <w:suppressAutoHyphens/>
        <w:ind w:firstLine="709"/>
      </w:pPr>
      <w:r w:rsidRPr="002E7C89">
        <w:t xml:space="preserve">1) в строке </w:t>
      </w:r>
      <w:r>
        <w:t>3</w:t>
      </w:r>
      <w:r w:rsidRPr="002E7C89">
        <w:t xml:space="preserve"> указывается МРП – месячный расчетный </w:t>
      </w:r>
      <w:proofErr w:type="gramStart"/>
      <w:r w:rsidRPr="002E7C89">
        <w:t>показатель</w:t>
      </w:r>
      <w:proofErr w:type="gramEnd"/>
      <w:r w:rsidR="00F314C0">
        <w:t xml:space="preserve"> установленн</w:t>
      </w:r>
      <w:r w:rsidR="0093221D">
        <w:t>ый</w:t>
      </w:r>
      <w:r w:rsidRPr="002E7C89">
        <w:t xml:space="preserve"> на соответствующий финансовый год</w:t>
      </w:r>
      <w:r w:rsidRPr="00747EFD">
        <w:t>;</w:t>
      </w:r>
    </w:p>
    <w:p w:rsidR="00242473" w:rsidRPr="002E7C89" w:rsidRDefault="00242473" w:rsidP="00496393">
      <w:pPr>
        <w:pStyle w:val="3"/>
        <w:widowControl w:val="0"/>
        <w:ind w:firstLine="708"/>
      </w:pPr>
      <w:r w:rsidRPr="002E7C89">
        <w:t xml:space="preserve">2) ячейка </w:t>
      </w:r>
      <w:r>
        <w:t>4</w:t>
      </w:r>
      <w:r w:rsidRPr="002E7C89">
        <w:t xml:space="preserve">А отмечается при наличии объектов обложения, находившихся в </w:t>
      </w:r>
      <w:proofErr w:type="gramStart"/>
      <w:r w:rsidRPr="002E7C89">
        <w:t>эксплуатации полный месяц</w:t>
      </w:r>
      <w:proofErr w:type="gramEnd"/>
      <w:r w:rsidRPr="002E7C89">
        <w:t xml:space="preserve">, введенных до 15 числа включительно и выбывших после 15 числа; </w:t>
      </w:r>
    </w:p>
    <w:p w:rsidR="00242473" w:rsidRPr="002E7C89" w:rsidRDefault="00242473" w:rsidP="00496393">
      <w:pPr>
        <w:pStyle w:val="3"/>
        <w:widowControl w:val="0"/>
        <w:ind w:firstLine="708"/>
      </w:pPr>
      <w:r w:rsidRPr="002E7C89">
        <w:t xml:space="preserve">3) ячейка </w:t>
      </w:r>
      <w:r>
        <w:t>4</w:t>
      </w:r>
      <w:r w:rsidRPr="002E7C89">
        <w:t xml:space="preserve">В отмечается при наличии объектов обложения, введенных в эксплуатацию после 15 числа и выбывших до 15 числа включительно. </w:t>
      </w:r>
    </w:p>
    <w:p w:rsidR="00242473" w:rsidRPr="002E7C89" w:rsidRDefault="00242473" w:rsidP="00496393">
      <w:pPr>
        <w:pStyle w:val="3"/>
        <w:widowControl w:val="0"/>
        <w:ind w:firstLine="708"/>
      </w:pPr>
      <w:r w:rsidRPr="002E7C89">
        <w:t xml:space="preserve">Отмечается только одна из ячеек в зависимости от наличия объектов </w:t>
      </w:r>
      <w:r w:rsidRPr="002E7C89">
        <w:lastRenderedPageBreak/>
        <w:t xml:space="preserve">обложения в налоговом периоде. </w:t>
      </w:r>
    </w:p>
    <w:p w:rsidR="00242473" w:rsidRPr="002E7C89" w:rsidRDefault="00242473" w:rsidP="00496393">
      <w:pPr>
        <w:pStyle w:val="3"/>
        <w:widowControl w:val="0"/>
        <w:ind w:firstLine="708"/>
      </w:pPr>
      <w:r w:rsidRPr="002E7C89">
        <w:t>По каждой отмеченной ячейке заполняется отдельное приложение п</w:t>
      </w:r>
      <w:r w:rsidR="00F91BD7">
        <w:t>о форме 710.01.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Раздел «Исчисление налога на игорный бизнес, подлежащего уплате в бюджет» состоит из строк 710.01.001 – игровой стол, 710.01.002 – игровой автомат, 710.01.003 – касса тотализатора, 710.01.004 – электронная касса тотализатора, 710.01.00</w:t>
      </w:r>
      <w:r w:rsidR="00F91BD7">
        <w:t>5 – касса букмекерской конторы,</w:t>
      </w:r>
      <w:r w:rsidR="00F91BD7">
        <w:br/>
      </w:r>
      <w:r w:rsidRPr="002E7C89">
        <w:t>710.01.006 – электронная касса букмекерской конторы, 710.01.007 – налог на игорный бизнес – всего.</w:t>
      </w:r>
    </w:p>
    <w:p w:rsidR="00242473" w:rsidRPr="002E7C89" w:rsidRDefault="00242473" w:rsidP="00496393">
      <w:pPr>
        <w:pStyle w:val="3"/>
        <w:widowControl w:val="0"/>
      </w:pPr>
      <w:r w:rsidRPr="002E7C89">
        <w:t>В данных строках отражаются:</w:t>
      </w:r>
    </w:p>
    <w:p w:rsidR="00242473" w:rsidRPr="002E7C89" w:rsidRDefault="00242473" w:rsidP="00496393">
      <w:pPr>
        <w:pStyle w:val="3"/>
        <w:widowControl w:val="0"/>
      </w:pPr>
      <w:r w:rsidRPr="002E7C89">
        <w:t>1) в графе А – количество объектов обложения за каждый месяц налогового периода;</w:t>
      </w:r>
    </w:p>
    <w:p w:rsidR="00242473" w:rsidRPr="002E7C89" w:rsidRDefault="00242473" w:rsidP="00496393">
      <w:pPr>
        <w:pStyle w:val="3"/>
        <w:widowControl w:val="0"/>
      </w:pPr>
      <w:r w:rsidRPr="002E7C89">
        <w:t>2) в графе</w:t>
      </w:r>
      <w:proofErr w:type="gramStart"/>
      <w:r w:rsidRPr="002E7C89">
        <w:t xml:space="preserve"> В</w:t>
      </w:r>
      <w:proofErr w:type="gramEnd"/>
      <w:r w:rsidRPr="002E7C89">
        <w:t xml:space="preserve"> – ставка налога на игорный бизнес в тенге, применяемая к соответствующему виду объекта обложения, определяемая в соответствии со статьей </w:t>
      </w:r>
      <w:r w:rsidR="00F314C0">
        <w:t>53</w:t>
      </w:r>
      <w:r w:rsidR="005B7674">
        <w:t>6</w:t>
      </w:r>
      <w:r w:rsidRPr="002E7C89">
        <w:t xml:space="preserve"> Налогового кодекса.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По объектам, находившимся в </w:t>
      </w:r>
      <w:proofErr w:type="gramStart"/>
      <w:r w:rsidRPr="002E7C89">
        <w:t>эксплуатации полный месяц</w:t>
      </w:r>
      <w:proofErr w:type="gramEnd"/>
      <w:r w:rsidRPr="002E7C89">
        <w:t>, введенным до 15 числа месяца включительно, выбывшим после 15 числа месяца, ставка налога в тенге определяется как произведение установленной ставки налога в МРП по каждому объекту обложения и размера МРП, указанного в ячейке «МРП» раздела «Общая информация о налогоплательщике».</w:t>
      </w:r>
    </w:p>
    <w:p w:rsidR="00242473" w:rsidRPr="002E7C89" w:rsidRDefault="00242473" w:rsidP="00496393">
      <w:pPr>
        <w:pStyle w:val="3"/>
        <w:widowControl w:val="0"/>
      </w:pPr>
      <w:r w:rsidRPr="002E7C89">
        <w:t>По объектам, введенным в эксплуатацию после 15 числа месяца и выбывшим до 15 числа месяца включительно, ставка налога в тенге определяется как ½ произведения установленной ставки налога в МРП по каждому объекту обложения и размера МРП, указанного в ячейке «МРП» раздела «Общая и</w:t>
      </w:r>
      <w:r w:rsidR="002C106E">
        <w:t>нформация о налогоплательщике»;</w:t>
      </w:r>
    </w:p>
    <w:p w:rsidR="00242473" w:rsidRPr="002E7C89" w:rsidRDefault="00242473" w:rsidP="00496393">
      <w:pPr>
        <w:pStyle w:val="3"/>
        <w:widowControl w:val="0"/>
      </w:pPr>
      <w:r w:rsidRPr="002E7C89">
        <w:t>3) в графе</w:t>
      </w:r>
      <w:proofErr w:type="gramStart"/>
      <w:r w:rsidRPr="002E7C89">
        <w:t xml:space="preserve"> С</w:t>
      </w:r>
      <w:proofErr w:type="gramEnd"/>
      <w:r w:rsidRPr="002E7C89">
        <w:t xml:space="preserve"> – сумма налога на игорный бизнес в тенге, по объекту обложения за каждый месяц налогового периода, определяемая как произведение соответст</w:t>
      </w:r>
      <w:r w:rsidR="002C106E">
        <w:t>вующих строк графы А и графы В.</w:t>
      </w:r>
    </w:p>
    <w:p w:rsidR="00242473" w:rsidRPr="002E7C89" w:rsidRDefault="00242473" w:rsidP="00496393">
      <w:pPr>
        <w:pStyle w:val="3"/>
        <w:widowControl w:val="0"/>
      </w:pPr>
      <w:r w:rsidRPr="002E7C89">
        <w:t>К примеру, по игровым столам заполнение соответствующих строк по указанным графам производится следующим образом.</w:t>
      </w:r>
    </w:p>
    <w:p w:rsidR="00242473" w:rsidRPr="002E7C89" w:rsidRDefault="00242473" w:rsidP="00496393">
      <w:pPr>
        <w:pStyle w:val="3"/>
        <w:widowControl w:val="0"/>
      </w:pPr>
      <w:r w:rsidRPr="002E7C89">
        <w:t>В строке 710.01.001 А указывается количество игровых столов за каждый месяц налогового периода.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В строке 710.01.001 </w:t>
      </w:r>
      <w:r w:rsidRPr="002E7C89">
        <w:rPr>
          <w:lang w:val="en-US"/>
        </w:rPr>
        <w:t>B</w:t>
      </w:r>
      <w:r w:rsidRPr="002E7C89">
        <w:t xml:space="preserve"> указывается соответствующая ставка налога в тенге, применяемая к игровым столам, определяемая следующим образом: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по игровым столам, находившимся в </w:t>
      </w:r>
      <w:proofErr w:type="gramStart"/>
      <w:r w:rsidRPr="002E7C89">
        <w:t>эксплуатации полный месяц</w:t>
      </w:r>
      <w:proofErr w:type="gramEnd"/>
      <w:r w:rsidRPr="002E7C89">
        <w:t xml:space="preserve">, введенным до 15 числа месяца включительно, выбывшим после 15 числа месяца, ставка налога определяется как произведение установленной ставки налога в размере </w:t>
      </w:r>
      <w:r w:rsidR="00B16013">
        <w:t>1660</w:t>
      </w:r>
      <w:r w:rsidRPr="002E7C89">
        <w:t xml:space="preserve"> МРП и установленного размера МРП на соответствующий финансовый год (</w:t>
      </w:r>
      <w:r w:rsidR="00B16013">
        <w:t>1660</w:t>
      </w:r>
      <w:r w:rsidRPr="002E7C89">
        <w:t xml:space="preserve"> х 1 МРП);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по игровым столам, введенным после 15 числа месяца, выбывшим до </w:t>
      </w:r>
      <w:r w:rsidR="00267D6B">
        <w:br/>
      </w:r>
      <w:r w:rsidRPr="002E7C89">
        <w:t xml:space="preserve">15 числа месяца включительно, ставка налога определяется как ½ произведения утвержденной ставки налога в размере </w:t>
      </w:r>
      <w:r w:rsidR="00B16013">
        <w:t>1660</w:t>
      </w:r>
      <w:r w:rsidR="00B16013" w:rsidRPr="002E7C89">
        <w:t xml:space="preserve"> </w:t>
      </w:r>
      <w:r w:rsidRPr="002E7C89">
        <w:t>МРП и установленного размера МРП на соответствующий финансовый год ((</w:t>
      </w:r>
      <w:r w:rsidR="00B16013">
        <w:t>1660</w:t>
      </w:r>
      <w:r w:rsidRPr="002E7C89">
        <w:t xml:space="preserve"> х 1 МРП)/2).</w:t>
      </w:r>
    </w:p>
    <w:p w:rsidR="00242473" w:rsidRPr="002E7C89" w:rsidRDefault="00242473" w:rsidP="00496393">
      <w:pPr>
        <w:pStyle w:val="3"/>
        <w:widowControl w:val="0"/>
      </w:pPr>
      <w:r w:rsidRPr="002E7C89">
        <w:lastRenderedPageBreak/>
        <w:t xml:space="preserve">В строке 710.01.001 </w:t>
      </w:r>
      <w:r w:rsidRPr="002E7C89">
        <w:rPr>
          <w:lang w:val="en-US"/>
        </w:rPr>
        <w:t>C</w:t>
      </w:r>
      <w:r w:rsidRPr="002E7C89">
        <w:t xml:space="preserve"> указывается сумма налога за каждый месяц налогового периода, определяемая путем применения соответствующей ставки налога к количеству игровых столов за каждый месяц налогового периода как произведение строк 710.01.001 А и 710.01.001 </w:t>
      </w:r>
      <w:r w:rsidRPr="002E7C89">
        <w:rPr>
          <w:lang w:val="en-US"/>
        </w:rPr>
        <w:t>B</w:t>
      </w:r>
      <w:r w:rsidRPr="002E7C89">
        <w:t xml:space="preserve"> (710.01.001 А х 710.01.001 </w:t>
      </w:r>
      <w:r w:rsidRPr="002E7C89">
        <w:rPr>
          <w:lang w:val="en-US"/>
        </w:rPr>
        <w:t>B</w:t>
      </w:r>
      <w:r w:rsidRPr="002E7C89">
        <w:t>).</w:t>
      </w:r>
    </w:p>
    <w:p w:rsidR="00242473" w:rsidRPr="002E7C89" w:rsidRDefault="00242473" w:rsidP="00496393">
      <w:pPr>
        <w:pStyle w:val="3"/>
        <w:widowControl w:val="0"/>
      </w:pPr>
      <w:r w:rsidRPr="002E7C89">
        <w:t>По другим видам объектов (игровым автоматам, кассам тотализатора, электронным кассам тотализатора, электронным кассам букмекерских контор, кассам букмекерских контор) заполнение строк производится аналогично заполнению по игровым столам;</w:t>
      </w:r>
    </w:p>
    <w:p w:rsidR="00242473" w:rsidRPr="002E7C89" w:rsidRDefault="00242473" w:rsidP="00496393">
      <w:pPr>
        <w:pStyle w:val="3"/>
        <w:widowControl w:val="0"/>
      </w:pPr>
      <w:r w:rsidRPr="002E7C89">
        <w:t>4) в строке 710.01.007</w:t>
      </w:r>
      <w:proofErr w:type="gramStart"/>
      <w:r w:rsidRPr="002E7C89">
        <w:t xml:space="preserve"> С</w:t>
      </w:r>
      <w:proofErr w:type="gramEnd"/>
      <w:r w:rsidR="005B7674">
        <w:t xml:space="preserve"> </w:t>
      </w:r>
      <w:r w:rsidRPr="002E7C89">
        <w:t>указывается общая сумма исчисленного налога на игорный бизнес по всем видам объектов, подлежащего уплате в бюджет за налоговый период, определяемая суммированием строк с 710.01.001 С по 710.01.006 С.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 xml:space="preserve">Раздел «Исчисление дополнительного платежа, подлежащего уплате в бюджет» заполняется в случае превышения дохода, полученного от деятельности в сфере игорного бизнеса, над предельным доходом, установленным пунктом </w:t>
      </w:r>
      <w:r w:rsidRPr="005B7674">
        <w:t xml:space="preserve">2 статьи </w:t>
      </w:r>
      <w:r w:rsidR="005B7674">
        <w:t>539</w:t>
      </w:r>
      <w:r w:rsidR="002C106E">
        <w:t xml:space="preserve"> Налогового кодекса.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Раздел состоит из строк 710.01.008 – казино, 710.01.009 – зал игровых автоматов, 710.01.010 – тотализатор, 710.01.011 – букмекерская контора, 710.01.012 – дополнительный платеж – всего, </w:t>
      </w:r>
      <w:proofErr w:type="gramStart"/>
      <w:r w:rsidRPr="002E7C89">
        <w:t>в</w:t>
      </w:r>
      <w:proofErr w:type="gramEnd"/>
      <w:r w:rsidRPr="002E7C89">
        <w:t xml:space="preserve"> которых:</w:t>
      </w:r>
    </w:p>
    <w:p w:rsidR="00242473" w:rsidRPr="002E7C89" w:rsidRDefault="00242473" w:rsidP="00496393">
      <w:pPr>
        <w:pStyle w:val="3"/>
        <w:widowControl w:val="0"/>
      </w:pPr>
      <w:r w:rsidRPr="002E7C89">
        <w:t>1) в графе A указывается фактический размер дохода от деятельности в соответствующей сфере игорного бизнеса за налоговый период;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2) в графе B указывается сумма, превышающая предельный размер дохода по каждому виду деятельности в сфере игорного бизнеса за налоговый период, определяемая как положительная разница суммы фактического размера дохода (графа A) и предельного размера дохода, установленного пунктом 2 статьи </w:t>
      </w:r>
      <w:r w:rsidR="00F314C0">
        <w:t>539</w:t>
      </w:r>
      <w:r w:rsidRPr="002E7C89">
        <w:t xml:space="preserve"> Налогового кодекса;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3) в графе C указывается сумма исчисленного дополнительного платежа за налоговый период по каждому виду деятельности в сфере игорного бизнеса, определяемая путем применения ставки в размере, установленном </w:t>
      </w:r>
      <w:r w:rsidR="00F314C0">
        <w:t xml:space="preserve">пунктом 1 статьи 313 Налогового кодекса, </w:t>
      </w:r>
      <w:r w:rsidRPr="002E7C89">
        <w:t xml:space="preserve">к сумме превышения предельного размера дохода (графа B). </w:t>
      </w:r>
    </w:p>
    <w:p w:rsidR="00242473" w:rsidRPr="002E7C89" w:rsidRDefault="00242473" w:rsidP="00496393">
      <w:pPr>
        <w:pStyle w:val="3"/>
        <w:widowControl w:val="0"/>
      </w:pPr>
      <w:r w:rsidRPr="002E7C89">
        <w:t>К примеру, по деятельности казино исчисление дополнительного платежа производится следующим образом.</w:t>
      </w:r>
    </w:p>
    <w:p w:rsidR="00242473" w:rsidRPr="002E7C89" w:rsidRDefault="00242473" w:rsidP="00496393">
      <w:pPr>
        <w:pStyle w:val="3"/>
        <w:widowControl w:val="0"/>
      </w:pPr>
      <w:r w:rsidRPr="002E7C89">
        <w:t>В строке 710.01.008 A указывается фактический размер дохода от деятельности казино за налоговый период.</w:t>
      </w:r>
    </w:p>
    <w:p w:rsidR="00242473" w:rsidRPr="002E7C89" w:rsidRDefault="00242473" w:rsidP="00496393">
      <w:pPr>
        <w:pStyle w:val="3"/>
        <w:widowControl w:val="0"/>
      </w:pPr>
      <w:r w:rsidRPr="002E7C89">
        <w:t>В строке 710.01.008 B указывается сумма, превышающая предельный размер дохода от деятельности казино за налоговый период, определяемая как разница строки 710.01.008 A и предельного размера дохода от деятельности казино в размере 135000-кратного размера МРП.</w:t>
      </w:r>
    </w:p>
    <w:p w:rsidR="00242473" w:rsidRPr="002E7C89" w:rsidRDefault="00242473" w:rsidP="00496393">
      <w:pPr>
        <w:pStyle w:val="3"/>
        <w:widowControl w:val="0"/>
      </w:pPr>
      <w:r w:rsidRPr="002E7C89">
        <w:t>В строке 710.01.008 C указывается сумма исчисленного дополнительного платежа за налоговый период, подлежащего уплате в бюджет, определяемая путем применения соответствующей ставки к сумме превышения предельного размера дохода с деятельности казино, отраженной в строке 710.01.008 B.</w:t>
      </w:r>
    </w:p>
    <w:p w:rsidR="00242473" w:rsidRPr="002E7C89" w:rsidRDefault="00242473" w:rsidP="00496393">
      <w:pPr>
        <w:pStyle w:val="3"/>
        <w:widowControl w:val="0"/>
      </w:pPr>
      <w:r w:rsidRPr="002E7C89">
        <w:lastRenderedPageBreak/>
        <w:t>По другим видам деятельности в сфере игорного бизнеса (зала игровых автоматов, тотализатора, букмекерской конторы) заполнение строк осуществляется аналогично заполнению по деятельности казино.</w:t>
      </w:r>
    </w:p>
    <w:p w:rsidR="00242473" w:rsidRPr="002E7C89" w:rsidRDefault="00242473" w:rsidP="00496393">
      <w:pPr>
        <w:pStyle w:val="3"/>
        <w:widowControl w:val="0"/>
      </w:pPr>
      <w:r w:rsidRPr="002E7C89">
        <w:t>В строке 710.01.012 C указывается общая сумма исчисленного дополнительного платежа по всем видам деятельности игорного бизнеса, подлежащего уплате в бюджет за налоговый период, определяемая как сумма строк с 710.01.008 C по 710.01.011 C.</w:t>
      </w:r>
    </w:p>
    <w:p w:rsidR="00242473" w:rsidRDefault="00242473" w:rsidP="00496393">
      <w:pPr>
        <w:pStyle w:val="3"/>
        <w:widowControl w:val="0"/>
      </w:pPr>
    </w:p>
    <w:p w:rsidR="00267D6B" w:rsidRPr="002E7C89" w:rsidRDefault="00267D6B" w:rsidP="00496393">
      <w:pPr>
        <w:pStyle w:val="3"/>
        <w:widowControl w:val="0"/>
      </w:pPr>
    </w:p>
    <w:p w:rsidR="00242473" w:rsidRPr="002E7C89" w:rsidRDefault="000359E3" w:rsidP="004F2291">
      <w:pPr>
        <w:pStyle w:val="3"/>
        <w:widowControl w:val="0"/>
        <w:ind w:left="480" w:firstLine="0"/>
        <w:jc w:val="center"/>
        <w:rPr>
          <w:b/>
          <w:bCs/>
        </w:rPr>
      </w:pPr>
      <w:r>
        <w:rPr>
          <w:b/>
          <w:bCs/>
        </w:rPr>
        <w:t>Глава 4. Пояснение по заполнению</w:t>
      </w:r>
      <w:r w:rsidR="00242473" w:rsidRPr="002E7C89">
        <w:rPr>
          <w:b/>
          <w:bCs/>
        </w:rPr>
        <w:t xml:space="preserve"> формы 710.02</w:t>
      </w:r>
    </w:p>
    <w:p w:rsidR="00242473" w:rsidRPr="002E7C89" w:rsidRDefault="00242473" w:rsidP="00496393">
      <w:pPr>
        <w:pStyle w:val="3"/>
        <w:widowControl w:val="0"/>
      </w:pP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Форма 710.02 предназначена для отражения информации об исчислении суммы фиксированного на</w:t>
      </w:r>
      <w:r w:rsidR="002C106E">
        <w:t>лога по всем объектам обложения</w:t>
      </w:r>
      <w:r w:rsidR="002C106E">
        <w:br/>
      </w:r>
      <w:r w:rsidRPr="002E7C89">
        <w:t xml:space="preserve">(при их наличии), определенным статьей </w:t>
      </w:r>
      <w:r w:rsidR="00F314C0">
        <w:t>545</w:t>
      </w:r>
      <w:r w:rsidRPr="002E7C89">
        <w:t xml:space="preserve"> Налогового кодекса, за налоговый период (квартал).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E7C89">
        <w:t>В разделе «Общая информация о налогоплательщике»:</w:t>
      </w:r>
    </w:p>
    <w:p w:rsidR="00242473" w:rsidRPr="002E7C89" w:rsidRDefault="00242473" w:rsidP="00496393">
      <w:pPr>
        <w:pStyle w:val="3"/>
        <w:widowControl w:val="0"/>
        <w:suppressAutoHyphens/>
        <w:ind w:firstLine="709"/>
      </w:pPr>
      <w:r w:rsidRPr="002E7C89">
        <w:t xml:space="preserve">1) в строке </w:t>
      </w:r>
      <w:r>
        <w:t>3</w:t>
      </w:r>
      <w:r w:rsidRPr="002E7C89">
        <w:t xml:space="preserve"> указывается</w:t>
      </w:r>
      <w:r w:rsidRPr="002E7C89" w:rsidDel="00CC3994">
        <w:t xml:space="preserve"> </w:t>
      </w:r>
      <w:r w:rsidRPr="002E7C89">
        <w:t xml:space="preserve">МРП – месячный расчетный показатель, размер которого устанавливается на соответствующий финансовый год </w:t>
      </w:r>
      <w:r>
        <w:rPr>
          <w:color w:val="000000"/>
        </w:rPr>
        <w:t>Законом о республиканском бюджете</w:t>
      </w:r>
      <w:r w:rsidRPr="002E7C89">
        <w:t xml:space="preserve">; </w:t>
      </w:r>
    </w:p>
    <w:p w:rsidR="00242473" w:rsidRPr="002E7C89" w:rsidRDefault="00242473" w:rsidP="00496393">
      <w:pPr>
        <w:pStyle w:val="3"/>
        <w:widowControl w:val="0"/>
        <w:ind w:firstLine="708"/>
      </w:pPr>
      <w:r w:rsidRPr="002E7C89">
        <w:t xml:space="preserve">2) ячейка </w:t>
      </w:r>
      <w:r>
        <w:t>4</w:t>
      </w:r>
      <w:proofErr w:type="gramStart"/>
      <w:r w:rsidRPr="002E7C89">
        <w:t xml:space="preserve"> А</w:t>
      </w:r>
      <w:proofErr w:type="gramEnd"/>
      <w:r w:rsidRPr="002E7C89">
        <w:t xml:space="preserve"> отмечается при наличии объектов обложения, находившихся в эксплуатации полный месяц, введенных до 15 числа включительно и выбывших после 15 числа; </w:t>
      </w:r>
    </w:p>
    <w:p w:rsidR="00242473" w:rsidRPr="002E7C89" w:rsidRDefault="00242473" w:rsidP="00496393">
      <w:pPr>
        <w:pStyle w:val="3"/>
        <w:widowControl w:val="0"/>
        <w:ind w:firstLine="708"/>
      </w:pPr>
      <w:r w:rsidRPr="002E7C89">
        <w:t xml:space="preserve">3) ячейка </w:t>
      </w:r>
      <w:r>
        <w:t>4</w:t>
      </w:r>
      <w:proofErr w:type="gramStart"/>
      <w:r w:rsidRPr="002E7C89">
        <w:t xml:space="preserve"> В</w:t>
      </w:r>
      <w:proofErr w:type="gramEnd"/>
      <w:r w:rsidRPr="002E7C89">
        <w:t xml:space="preserve"> отмечается при наличии объектов обложения введенных в эксплуатацию после 15 числа и выбывших до 15 числа включительно. </w:t>
      </w:r>
    </w:p>
    <w:p w:rsidR="00242473" w:rsidRPr="002E7C89" w:rsidRDefault="00242473" w:rsidP="00496393">
      <w:pPr>
        <w:pStyle w:val="3"/>
        <w:widowControl w:val="0"/>
        <w:ind w:firstLine="708"/>
      </w:pPr>
      <w:r w:rsidRPr="002E7C89">
        <w:t xml:space="preserve">Отмечается только одна из ячеек в зависимости от наличия объектов обложения в налоговом периоде. </w:t>
      </w:r>
    </w:p>
    <w:p w:rsidR="00242473" w:rsidRPr="002E7C89" w:rsidRDefault="00242473" w:rsidP="00496393">
      <w:pPr>
        <w:pStyle w:val="3"/>
        <w:widowControl w:val="0"/>
        <w:ind w:firstLine="708"/>
      </w:pPr>
      <w:r w:rsidRPr="002E7C89">
        <w:t>По каждой отмеченной ячейке заполняет</w:t>
      </w:r>
      <w:r w:rsidR="002C106E">
        <w:t>ся отдельное приложение</w:t>
      </w:r>
      <w:r w:rsidR="002C106E">
        <w:br/>
      </w:r>
      <w:r w:rsidRPr="002E7C89">
        <w:t>по форме 710.02.</w:t>
      </w:r>
    </w:p>
    <w:p w:rsidR="00242473" w:rsidRPr="002E7C89" w:rsidRDefault="00242473" w:rsidP="00815A13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gramStart"/>
      <w:r w:rsidRPr="002E7C89">
        <w:t>Раздел «Исчисление фиксированного налога, подлежащего уплате в бюджет» состоит из строк 710.02.001 – игровой автомат без выигрыша, предназначенный для проведения игры с одним игроком, 710.02.002 – игровой автомат без выигрыша, предназначенный для проведения игры с участием более одного игрока, 710.02.003 – персональный компьютер, используемый для проведения игры, 710.02.004 – игровая дорожка, 7</w:t>
      </w:r>
      <w:r w:rsidR="002C106E">
        <w:t>10.02.005 – карт,</w:t>
      </w:r>
      <w:r w:rsidR="002C106E">
        <w:br/>
      </w:r>
      <w:r w:rsidR="004F2291">
        <w:t xml:space="preserve">710.02.006 – </w:t>
      </w:r>
      <w:r w:rsidRPr="002E7C89">
        <w:t xml:space="preserve">бильярдный стол, </w:t>
      </w:r>
      <w:r w:rsidR="0093221D" w:rsidRPr="005B406E">
        <w:t xml:space="preserve">710.02.007 – </w:t>
      </w:r>
      <w:r w:rsidR="0093221D" w:rsidRPr="003019DE">
        <w:rPr>
          <w:rStyle w:val="s0"/>
        </w:rPr>
        <w:t>обменный пункт уполномоченной организации</w:t>
      </w:r>
      <w:r w:rsidR="0093221D">
        <w:t xml:space="preserve">, </w:t>
      </w:r>
      <w:r w:rsidR="0093221D" w:rsidRPr="000B7F58">
        <w:t>710.02.00</w:t>
      </w:r>
      <w:r w:rsidR="0093221D">
        <w:t>8</w:t>
      </w:r>
      <w:r w:rsidR="0093221D" w:rsidRPr="000B7F58">
        <w:t xml:space="preserve"> – </w:t>
      </w:r>
      <w:r w:rsidR="0093221D">
        <w:t>о</w:t>
      </w:r>
      <w:r w:rsidR="0093221D" w:rsidRPr="000B7F58">
        <w:t>бменный пункт</w:t>
      </w:r>
      <w:proofErr w:type="gramEnd"/>
      <w:r w:rsidR="0093221D" w:rsidRPr="000B7F58">
        <w:t xml:space="preserve"> уполномоченной организации, расположенный в специальной зоне, </w:t>
      </w:r>
      <w:r w:rsidRPr="002E7C89">
        <w:t>710.02.00</w:t>
      </w:r>
      <w:r w:rsidR="0093221D">
        <w:t>9</w:t>
      </w:r>
      <w:r w:rsidRPr="002E7C89">
        <w:t xml:space="preserve"> – фиксированный налог – всего.</w:t>
      </w:r>
    </w:p>
    <w:p w:rsidR="00242473" w:rsidRPr="002E7C89" w:rsidRDefault="002C106E" w:rsidP="00496393">
      <w:pPr>
        <w:pStyle w:val="3"/>
        <w:widowControl w:val="0"/>
      </w:pPr>
      <w:r>
        <w:t>В данных строках отражаются: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1) в графе А – количество объектов обложения за каждый месяц налогового периода; 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2) в графе </w:t>
      </w:r>
      <w:r w:rsidRPr="002E7C89">
        <w:rPr>
          <w:lang w:val="en-US"/>
        </w:rPr>
        <w:t>B</w:t>
      </w:r>
      <w:r w:rsidRPr="002E7C89">
        <w:t xml:space="preserve"> – ставка фиксированного налога в тенге, применяемая к соответствующему виду объекта обложения, определяемая в соответствии со статьей </w:t>
      </w:r>
      <w:r w:rsidR="00F314C0">
        <w:t>546</w:t>
      </w:r>
      <w:r w:rsidRPr="002E7C89">
        <w:t xml:space="preserve"> Налогового кодекса.</w:t>
      </w:r>
    </w:p>
    <w:p w:rsidR="00242473" w:rsidRPr="002E7C89" w:rsidRDefault="00242473" w:rsidP="00496393">
      <w:pPr>
        <w:pStyle w:val="3"/>
        <w:widowControl w:val="0"/>
      </w:pPr>
      <w:r w:rsidRPr="002E7C89">
        <w:lastRenderedPageBreak/>
        <w:t xml:space="preserve">По объектам, находившимся в </w:t>
      </w:r>
      <w:proofErr w:type="gramStart"/>
      <w:r w:rsidRPr="002E7C89">
        <w:t>эксплуатации полный месяц</w:t>
      </w:r>
      <w:proofErr w:type="gramEnd"/>
      <w:r w:rsidRPr="002E7C89">
        <w:t>, введенным до 15 числа месяца включительно, выбывшим после 15 числа месяца, ставка налога в тенге определяется как произведение установленной местным представительным органом ставки налога в МРП по каждому объекту обложения и размера МРП, ук</w:t>
      </w:r>
      <w:r w:rsidR="00F91BD7">
        <w:t>азанного в ячейке «МРП» раздела</w:t>
      </w:r>
      <w:r w:rsidR="00F91BD7">
        <w:br/>
      </w:r>
      <w:r w:rsidRPr="002E7C89">
        <w:t>«Общая ин</w:t>
      </w:r>
      <w:r w:rsidR="004F2291">
        <w:t>формация о налогоплательщике».</w:t>
      </w:r>
    </w:p>
    <w:p w:rsidR="00242473" w:rsidRPr="002E7C89" w:rsidRDefault="00242473" w:rsidP="00496393">
      <w:pPr>
        <w:pStyle w:val="3"/>
        <w:widowControl w:val="0"/>
      </w:pPr>
      <w:r w:rsidRPr="002E7C89">
        <w:t>По объектам, введенным в эксплуатацию после 15 числа месяца, выбывшим до 15 числа месяца включительно, ставка налога в тенге определяется как ½ произведения установленной местным представительным органом ставки налога в МРП и размера МРП, указанного в ячейке «МРП» раздела «Общая ин</w:t>
      </w:r>
      <w:r w:rsidR="004F2291">
        <w:t>формация о налогоплательщике»;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3) в графе </w:t>
      </w:r>
      <w:r w:rsidRPr="002E7C89">
        <w:rPr>
          <w:lang w:val="en-US"/>
        </w:rPr>
        <w:t>C</w:t>
      </w:r>
      <w:r w:rsidRPr="002E7C89">
        <w:t xml:space="preserve"> указывается сумма фиксированного налога за каждый месяц налогового периода, определяемая к</w:t>
      </w:r>
      <w:r w:rsidR="00F91BD7">
        <w:t>ак произведение соответствующих</w:t>
      </w:r>
      <w:r w:rsidR="00F91BD7">
        <w:br/>
      </w:r>
      <w:r w:rsidRPr="002E7C89">
        <w:t>строк графы А и графы В.</w:t>
      </w:r>
    </w:p>
    <w:p w:rsidR="00242473" w:rsidRPr="002E7C89" w:rsidRDefault="00242473" w:rsidP="00496393">
      <w:pPr>
        <w:pStyle w:val="3"/>
        <w:widowControl w:val="0"/>
      </w:pPr>
      <w:r w:rsidRPr="002E7C89">
        <w:t>К примеру, по игровым автоматам без выигрыша, предназначенным для проведения игры с одним игроком, заполнение соответствующих строк по указанным графам производится следующим образом.</w:t>
      </w:r>
    </w:p>
    <w:p w:rsidR="00242473" w:rsidRPr="002E7C89" w:rsidRDefault="00242473" w:rsidP="00496393">
      <w:pPr>
        <w:pStyle w:val="3"/>
        <w:widowControl w:val="0"/>
      </w:pPr>
      <w:r w:rsidRPr="002E7C89">
        <w:t>В строке 710.02.001 А указывается количество объектов обложения фиксированного налога – игровых автоматов без выигрыша, предназначенных для проведения игры с одним игроком, за каждый месяц налогового периода.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В строке 710.02.001 </w:t>
      </w:r>
      <w:r w:rsidRPr="002E7C89">
        <w:rPr>
          <w:lang w:val="en-US"/>
        </w:rPr>
        <w:t>B</w:t>
      </w:r>
      <w:r w:rsidRPr="002E7C89">
        <w:t xml:space="preserve"> указывается соответствующая ставка налога в тенге, применяемая к игровым автоматам без выигрыша, предназначенным для проведения игры с одним игроком, определяемая следующим образом: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по игровым автоматам без выигрыша, предназначенным для проведения игры с одним игроком, находившимся в </w:t>
      </w:r>
      <w:proofErr w:type="gramStart"/>
      <w:r w:rsidRPr="002E7C89">
        <w:t>эксплуатации полный месяц</w:t>
      </w:r>
      <w:proofErr w:type="gramEnd"/>
      <w:r w:rsidRPr="002E7C89">
        <w:t>, введенным до 15 числа месяца включительно, выбывшим после 15 числа месяца, ставка налога определяется как произведение установленной местным представительным органом ставки фиксированного налога и установленного размера МРП на с</w:t>
      </w:r>
      <w:r w:rsidR="004F2291">
        <w:t>оответствующий финансовый год;</w:t>
      </w:r>
    </w:p>
    <w:p w:rsidR="00242473" w:rsidRPr="002E7C89" w:rsidRDefault="00242473" w:rsidP="00496393">
      <w:pPr>
        <w:pStyle w:val="3"/>
        <w:widowControl w:val="0"/>
      </w:pPr>
      <w:r w:rsidRPr="002E7C89">
        <w:t xml:space="preserve">по игровым автоматам без выигрыша, предназначенным для проведения игры с одним игроком, введенным в эксплуатацию после 15 числа месяца, выбывшим до 15 числа месяца включительно, ставка налога определяется как </w:t>
      </w:r>
      <w:r w:rsidR="00267D6B">
        <w:br/>
      </w:r>
      <w:r w:rsidRPr="002E7C89">
        <w:t>½ произведения установленной ставки фиксированного налога и установленного размера МРП на соответствующий финансовый год.</w:t>
      </w:r>
    </w:p>
    <w:p w:rsidR="00242473" w:rsidRPr="002E7C89" w:rsidRDefault="00242473" w:rsidP="00496393">
      <w:pPr>
        <w:pStyle w:val="3"/>
        <w:widowControl w:val="0"/>
      </w:pPr>
      <w:r w:rsidRPr="002E7C89">
        <w:t>В строке 710.02.001</w:t>
      </w:r>
      <w:proofErr w:type="gramStart"/>
      <w:r w:rsidRPr="002E7C89">
        <w:t xml:space="preserve"> С</w:t>
      </w:r>
      <w:proofErr w:type="gramEnd"/>
      <w:r w:rsidRPr="002E7C89">
        <w:t xml:space="preserve"> указывается сумма налога за каждый месяц налогового периода, определяемая путем применения соответствующей ставки налога к количеству игровых автоматов без выигрыша, предназначенных для проведения игры с одним игроком, за каждый месяц налогового периода как произведение строк 710.02.001 А и 710.02.001 </w:t>
      </w:r>
      <w:r w:rsidRPr="002E7C89">
        <w:rPr>
          <w:lang w:val="en-US"/>
        </w:rPr>
        <w:t>B</w:t>
      </w:r>
      <w:r w:rsidRPr="002E7C89">
        <w:t xml:space="preserve"> (710.02.001 А х 710.02.001 </w:t>
      </w:r>
      <w:r w:rsidRPr="002E7C89">
        <w:rPr>
          <w:lang w:val="en-US"/>
        </w:rPr>
        <w:t>B</w:t>
      </w:r>
      <w:r w:rsidRPr="002E7C89">
        <w:t>).</w:t>
      </w:r>
    </w:p>
    <w:p w:rsidR="00242473" w:rsidRPr="002E7C89" w:rsidRDefault="00242473" w:rsidP="00496393">
      <w:pPr>
        <w:pStyle w:val="3"/>
        <w:widowControl w:val="0"/>
      </w:pPr>
      <w:proofErr w:type="gramStart"/>
      <w:r w:rsidRPr="002E7C89">
        <w:t>По другим видам объектов (игровым автоматам без выигрыша, предназначенным для проведения игры с участием более одного игрока, персональным компьютерам, используемым для проведения игры, игровым дорожкам, картам, бильярдным столам</w:t>
      </w:r>
      <w:r w:rsidR="00042B59">
        <w:t>,</w:t>
      </w:r>
      <w:r w:rsidR="00571C9E">
        <w:t xml:space="preserve"> </w:t>
      </w:r>
      <w:r w:rsidR="00571C9E" w:rsidRPr="00234F44">
        <w:t>обменны</w:t>
      </w:r>
      <w:r w:rsidR="00571C9E">
        <w:t>м</w:t>
      </w:r>
      <w:r w:rsidR="00571C9E" w:rsidRPr="00234F44">
        <w:t xml:space="preserve"> пункт</w:t>
      </w:r>
      <w:r w:rsidR="00571C9E">
        <w:t>ам</w:t>
      </w:r>
      <w:r w:rsidR="00571C9E" w:rsidRPr="00234F44">
        <w:t xml:space="preserve"> уполномоченной </w:t>
      </w:r>
      <w:r w:rsidR="00571C9E" w:rsidRPr="00234F44">
        <w:lastRenderedPageBreak/>
        <w:t>организации, обменны</w:t>
      </w:r>
      <w:r w:rsidR="00571C9E">
        <w:t>м</w:t>
      </w:r>
      <w:r w:rsidR="00571C9E" w:rsidRPr="00234F44">
        <w:t xml:space="preserve"> пункт</w:t>
      </w:r>
      <w:r w:rsidR="00571C9E">
        <w:t>ам</w:t>
      </w:r>
      <w:r w:rsidR="00571C9E" w:rsidRPr="00234F44">
        <w:t xml:space="preserve"> уполномоченной организации, расположенный в специальной зоне</w:t>
      </w:r>
      <w:r w:rsidR="00571C9E" w:rsidRPr="002E7C89">
        <w:t>)</w:t>
      </w:r>
      <w:r w:rsidRPr="002E7C89">
        <w:t xml:space="preserve"> заполнение строк осуществляется аналогично заполнению по игровым автоматам без выигрыша, предназначенным для проведения игры с одним игроком.</w:t>
      </w:r>
      <w:proofErr w:type="gramEnd"/>
    </w:p>
    <w:p w:rsidR="00242473" w:rsidRPr="002E7C89" w:rsidRDefault="00242473" w:rsidP="00496393">
      <w:pPr>
        <w:widowControl w:val="0"/>
        <w:ind w:firstLine="708"/>
        <w:jc w:val="both"/>
      </w:pPr>
      <w:r w:rsidRPr="002E7C89">
        <w:t>В строке 710.02.00</w:t>
      </w:r>
      <w:r w:rsidR="004572A1">
        <w:t>9</w:t>
      </w:r>
      <w:proofErr w:type="gramStart"/>
      <w:r w:rsidRPr="002E7C89">
        <w:t xml:space="preserve"> С</w:t>
      </w:r>
      <w:proofErr w:type="gramEnd"/>
      <w:r w:rsidRPr="002E7C89">
        <w:t xml:space="preserve"> указывается общая сумма исчисленного фиксированного налога по всем видам объектов, подлежащего уплате </w:t>
      </w:r>
      <w:r w:rsidR="006F3C48">
        <w:br/>
      </w:r>
      <w:r w:rsidRPr="002E7C89">
        <w:t>в бюджет за налоговый период, определяемая сумми</w:t>
      </w:r>
      <w:r w:rsidR="00F91BD7">
        <w:t>рованием</w:t>
      </w:r>
      <w:r w:rsidR="00F91BD7">
        <w:br/>
      </w:r>
      <w:r w:rsidRPr="002E7C89">
        <w:t xml:space="preserve">строк </w:t>
      </w:r>
      <w:r w:rsidR="006F3C48">
        <w:t xml:space="preserve">с </w:t>
      </w:r>
      <w:r w:rsidRPr="002E7C89">
        <w:t>710.02.001</w:t>
      </w:r>
      <w:r w:rsidR="00267D6B">
        <w:t xml:space="preserve"> </w:t>
      </w:r>
      <w:r w:rsidRPr="002E7C89">
        <w:t>С по 710.02.00</w:t>
      </w:r>
      <w:r w:rsidR="004572A1">
        <w:t>8</w:t>
      </w:r>
      <w:r w:rsidRPr="002E7C89">
        <w:t xml:space="preserve"> С</w:t>
      </w:r>
      <w:r w:rsidR="00B6292E">
        <w:t>.</w:t>
      </w:r>
    </w:p>
    <w:sectPr w:rsidR="00242473" w:rsidRPr="002E7C89" w:rsidSect="006335AA">
      <w:headerReference w:type="default" r:id="rId13"/>
      <w:headerReference w:type="first" r:id="rId14"/>
      <w:pgSz w:w="11906" w:h="16838" w:code="9"/>
      <w:pgMar w:top="1418" w:right="851" w:bottom="1418" w:left="1418" w:header="567" w:footer="709" w:gutter="0"/>
      <w:pgNumType w:start="77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0E" w:rsidRDefault="00E2140E">
      <w:r>
        <w:separator/>
      </w:r>
    </w:p>
  </w:endnote>
  <w:endnote w:type="continuationSeparator" w:id="0">
    <w:p w:rsidR="00E2140E" w:rsidRDefault="00E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0E" w:rsidRDefault="00E2140E">
      <w:r>
        <w:separator/>
      </w:r>
    </w:p>
  </w:footnote>
  <w:footnote w:type="continuationSeparator" w:id="0">
    <w:p w:rsidR="00E2140E" w:rsidRDefault="00E2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6" w:rsidRPr="0080021C" w:rsidRDefault="00E44D66">
    <w:pPr>
      <w:pStyle w:val="a9"/>
      <w:jc w:val="center"/>
    </w:pPr>
    <w:r w:rsidRPr="0080021C">
      <w:fldChar w:fldCharType="begin"/>
    </w:r>
    <w:r w:rsidRPr="0080021C">
      <w:instrText xml:space="preserve"> PAGE   \* MERGEFORMAT </w:instrText>
    </w:r>
    <w:r w:rsidRPr="0080021C">
      <w:fldChar w:fldCharType="separate"/>
    </w:r>
    <w:r w:rsidR="00A73BEC">
      <w:rPr>
        <w:noProof/>
      </w:rPr>
      <w:t>780</w:t>
    </w:r>
    <w:r w:rsidRPr="0080021C">
      <w:fldChar w:fldCharType="end"/>
    </w:r>
  </w:p>
  <w:p w:rsidR="002E2D2F" w:rsidRDefault="002E2D2F" w:rsidP="006311F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2974"/>
      <w:docPartObj>
        <w:docPartGallery w:val="Page Numbers (Top of Page)"/>
        <w:docPartUnique/>
      </w:docPartObj>
    </w:sdtPr>
    <w:sdtEndPr/>
    <w:sdtContent>
      <w:p w:rsidR="000359E3" w:rsidRDefault="0003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BEC">
          <w:rPr>
            <w:noProof/>
          </w:rPr>
          <w:t>772</w:t>
        </w:r>
        <w:r>
          <w:fldChar w:fldCharType="end"/>
        </w:r>
      </w:p>
    </w:sdtContent>
  </w:sdt>
  <w:p w:rsidR="00E44D66" w:rsidRDefault="00E44D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002"/>
    <w:multiLevelType w:val="hybridMultilevel"/>
    <w:tmpl w:val="02EA1B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C2035E"/>
    <w:multiLevelType w:val="multilevel"/>
    <w:tmpl w:val="F0CE96F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2E4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FA"/>
    <w:rsid w:val="00000004"/>
    <w:rsid w:val="00013684"/>
    <w:rsid w:val="000208FF"/>
    <w:rsid w:val="00025951"/>
    <w:rsid w:val="000359E3"/>
    <w:rsid w:val="0004146D"/>
    <w:rsid w:val="00042B59"/>
    <w:rsid w:val="00055E95"/>
    <w:rsid w:val="00072672"/>
    <w:rsid w:val="00072F0A"/>
    <w:rsid w:val="00082B97"/>
    <w:rsid w:val="0008592A"/>
    <w:rsid w:val="0009427C"/>
    <w:rsid w:val="000A0750"/>
    <w:rsid w:val="000A082F"/>
    <w:rsid w:val="000A1C2F"/>
    <w:rsid w:val="000A2912"/>
    <w:rsid w:val="000A3AA6"/>
    <w:rsid w:val="000B0CBE"/>
    <w:rsid w:val="000B174D"/>
    <w:rsid w:val="000B6A18"/>
    <w:rsid w:val="000C246E"/>
    <w:rsid w:val="000D76CB"/>
    <w:rsid w:val="00100EA5"/>
    <w:rsid w:val="00110C16"/>
    <w:rsid w:val="00111399"/>
    <w:rsid w:val="00111B82"/>
    <w:rsid w:val="00133FBA"/>
    <w:rsid w:val="00137D16"/>
    <w:rsid w:val="00173C56"/>
    <w:rsid w:val="001740D7"/>
    <w:rsid w:val="00183CE4"/>
    <w:rsid w:val="00193A23"/>
    <w:rsid w:val="001978E7"/>
    <w:rsid w:val="001A0E18"/>
    <w:rsid w:val="001B3A65"/>
    <w:rsid w:val="001C1958"/>
    <w:rsid w:val="001C6A18"/>
    <w:rsid w:val="001D0DE3"/>
    <w:rsid w:val="001D6BC3"/>
    <w:rsid w:val="001F0EA1"/>
    <w:rsid w:val="001F51AE"/>
    <w:rsid w:val="002031C4"/>
    <w:rsid w:val="00212880"/>
    <w:rsid w:val="00220078"/>
    <w:rsid w:val="002406BE"/>
    <w:rsid w:val="0024126C"/>
    <w:rsid w:val="00241B86"/>
    <w:rsid w:val="00242473"/>
    <w:rsid w:val="002436CC"/>
    <w:rsid w:val="0024633C"/>
    <w:rsid w:val="00246FB4"/>
    <w:rsid w:val="002473CD"/>
    <w:rsid w:val="00266D51"/>
    <w:rsid w:val="00267D6B"/>
    <w:rsid w:val="002766E5"/>
    <w:rsid w:val="002770B8"/>
    <w:rsid w:val="00283357"/>
    <w:rsid w:val="002858DD"/>
    <w:rsid w:val="00287F17"/>
    <w:rsid w:val="00291B12"/>
    <w:rsid w:val="002A2099"/>
    <w:rsid w:val="002A4153"/>
    <w:rsid w:val="002B0C92"/>
    <w:rsid w:val="002B3929"/>
    <w:rsid w:val="002C106E"/>
    <w:rsid w:val="002C3C50"/>
    <w:rsid w:val="002C7720"/>
    <w:rsid w:val="002D20A6"/>
    <w:rsid w:val="002E2D2F"/>
    <w:rsid w:val="002E7C89"/>
    <w:rsid w:val="002F72EA"/>
    <w:rsid w:val="00305465"/>
    <w:rsid w:val="00307816"/>
    <w:rsid w:val="00313C8E"/>
    <w:rsid w:val="003143DD"/>
    <w:rsid w:val="00332CA0"/>
    <w:rsid w:val="00333C65"/>
    <w:rsid w:val="00343A84"/>
    <w:rsid w:val="0034439A"/>
    <w:rsid w:val="003461EE"/>
    <w:rsid w:val="00353FFE"/>
    <w:rsid w:val="00354CE7"/>
    <w:rsid w:val="00357EC8"/>
    <w:rsid w:val="003612B8"/>
    <w:rsid w:val="00366693"/>
    <w:rsid w:val="0037142F"/>
    <w:rsid w:val="00372473"/>
    <w:rsid w:val="003740AA"/>
    <w:rsid w:val="003774B5"/>
    <w:rsid w:val="003845AA"/>
    <w:rsid w:val="00394DA2"/>
    <w:rsid w:val="003B6630"/>
    <w:rsid w:val="003C701F"/>
    <w:rsid w:val="003E63F6"/>
    <w:rsid w:val="003F0DC2"/>
    <w:rsid w:val="003F709D"/>
    <w:rsid w:val="00403597"/>
    <w:rsid w:val="00410031"/>
    <w:rsid w:val="004161A5"/>
    <w:rsid w:val="00426278"/>
    <w:rsid w:val="004422FC"/>
    <w:rsid w:val="0045122F"/>
    <w:rsid w:val="00451DD2"/>
    <w:rsid w:val="00451DD7"/>
    <w:rsid w:val="004572A1"/>
    <w:rsid w:val="00461441"/>
    <w:rsid w:val="00471A29"/>
    <w:rsid w:val="00472125"/>
    <w:rsid w:val="00474CDD"/>
    <w:rsid w:val="00496393"/>
    <w:rsid w:val="004A1609"/>
    <w:rsid w:val="004A67EF"/>
    <w:rsid w:val="004B07E9"/>
    <w:rsid w:val="004B6673"/>
    <w:rsid w:val="004C01F6"/>
    <w:rsid w:val="004C618A"/>
    <w:rsid w:val="004D238F"/>
    <w:rsid w:val="004F0AFC"/>
    <w:rsid w:val="004F2291"/>
    <w:rsid w:val="00500D2D"/>
    <w:rsid w:val="00513956"/>
    <w:rsid w:val="00515493"/>
    <w:rsid w:val="00515599"/>
    <w:rsid w:val="00522541"/>
    <w:rsid w:val="00530DA9"/>
    <w:rsid w:val="00537700"/>
    <w:rsid w:val="00571C9E"/>
    <w:rsid w:val="005843F1"/>
    <w:rsid w:val="005906A6"/>
    <w:rsid w:val="005A32BB"/>
    <w:rsid w:val="005B608C"/>
    <w:rsid w:val="005B7674"/>
    <w:rsid w:val="005C6C6C"/>
    <w:rsid w:val="005D0A3C"/>
    <w:rsid w:val="005D3233"/>
    <w:rsid w:val="005E52E9"/>
    <w:rsid w:val="005F1954"/>
    <w:rsid w:val="006052F0"/>
    <w:rsid w:val="0060646F"/>
    <w:rsid w:val="006067FC"/>
    <w:rsid w:val="00612590"/>
    <w:rsid w:val="006311FA"/>
    <w:rsid w:val="006335AA"/>
    <w:rsid w:val="00644291"/>
    <w:rsid w:val="0066253C"/>
    <w:rsid w:val="00664ED0"/>
    <w:rsid w:val="00685D06"/>
    <w:rsid w:val="00687BE2"/>
    <w:rsid w:val="006B0C4C"/>
    <w:rsid w:val="006B2C7B"/>
    <w:rsid w:val="006E0AA6"/>
    <w:rsid w:val="006E2281"/>
    <w:rsid w:val="006F18BC"/>
    <w:rsid w:val="006F3C48"/>
    <w:rsid w:val="006F6525"/>
    <w:rsid w:val="00700E0E"/>
    <w:rsid w:val="007042DB"/>
    <w:rsid w:val="0072170C"/>
    <w:rsid w:val="0072184B"/>
    <w:rsid w:val="00725668"/>
    <w:rsid w:val="00747EFD"/>
    <w:rsid w:val="00755F78"/>
    <w:rsid w:val="00760682"/>
    <w:rsid w:val="00770730"/>
    <w:rsid w:val="0077396D"/>
    <w:rsid w:val="00775594"/>
    <w:rsid w:val="00780533"/>
    <w:rsid w:val="007A5F4C"/>
    <w:rsid w:val="007B39E4"/>
    <w:rsid w:val="007B5437"/>
    <w:rsid w:val="007D0066"/>
    <w:rsid w:val="007D1DAA"/>
    <w:rsid w:val="007E4CA7"/>
    <w:rsid w:val="007E7B30"/>
    <w:rsid w:val="007F580F"/>
    <w:rsid w:val="0080021C"/>
    <w:rsid w:val="00803449"/>
    <w:rsid w:val="0080777F"/>
    <w:rsid w:val="00810710"/>
    <w:rsid w:val="00812DA4"/>
    <w:rsid w:val="00814DDB"/>
    <w:rsid w:val="00815A13"/>
    <w:rsid w:val="008205D1"/>
    <w:rsid w:val="00824A3D"/>
    <w:rsid w:val="00833A4D"/>
    <w:rsid w:val="0083537B"/>
    <w:rsid w:val="00852C9C"/>
    <w:rsid w:val="00853970"/>
    <w:rsid w:val="0085775D"/>
    <w:rsid w:val="008730E1"/>
    <w:rsid w:val="00874994"/>
    <w:rsid w:val="00876E5C"/>
    <w:rsid w:val="00890DE3"/>
    <w:rsid w:val="00895123"/>
    <w:rsid w:val="008A2F88"/>
    <w:rsid w:val="008A6C64"/>
    <w:rsid w:val="008D0E0E"/>
    <w:rsid w:val="008D6962"/>
    <w:rsid w:val="008E27DA"/>
    <w:rsid w:val="008F57B0"/>
    <w:rsid w:val="00902B2C"/>
    <w:rsid w:val="00904E8D"/>
    <w:rsid w:val="00910D39"/>
    <w:rsid w:val="009206FD"/>
    <w:rsid w:val="00920D41"/>
    <w:rsid w:val="009310CF"/>
    <w:rsid w:val="0093221D"/>
    <w:rsid w:val="00943322"/>
    <w:rsid w:val="00943A60"/>
    <w:rsid w:val="0096235B"/>
    <w:rsid w:val="00970C1D"/>
    <w:rsid w:val="00975E73"/>
    <w:rsid w:val="00990E7F"/>
    <w:rsid w:val="0099570E"/>
    <w:rsid w:val="009C6B44"/>
    <w:rsid w:val="009E57E9"/>
    <w:rsid w:val="009E6BC8"/>
    <w:rsid w:val="009F2614"/>
    <w:rsid w:val="00A056D8"/>
    <w:rsid w:val="00A0765B"/>
    <w:rsid w:val="00A27367"/>
    <w:rsid w:val="00A301FF"/>
    <w:rsid w:val="00A336AD"/>
    <w:rsid w:val="00A56FD9"/>
    <w:rsid w:val="00A709B6"/>
    <w:rsid w:val="00A71864"/>
    <w:rsid w:val="00A73BEC"/>
    <w:rsid w:val="00A76B22"/>
    <w:rsid w:val="00A96266"/>
    <w:rsid w:val="00AB35AE"/>
    <w:rsid w:val="00AC137C"/>
    <w:rsid w:val="00AC2F88"/>
    <w:rsid w:val="00AC6B9F"/>
    <w:rsid w:val="00AD17A6"/>
    <w:rsid w:val="00B03A91"/>
    <w:rsid w:val="00B04D18"/>
    <w:rsid w:val="00B16013"/>
    <w:rsid w:val="00B421B3"/>
    <w:rsid w:val="00B51413"/>
    <w:rsid w:val="00B6292E"/>
    <w:rsid w:val="00B632F9"/>
    <w:rsid w:val="00B66867"/>
    <w:rsid w:val="00B70749"/>
    <w:rsid w:val="00B8163B"/>
    <w:rsid w:val="00B8204C"/>
    <w:rsid w:val="00B93BE4"/>
    <w:rsid w:val="00BE2161"/>
    <w:rsid w:val="00BF3F25"/>
    <w:rsid w:val="00BF7D93"/>
    <w:rsid w:val="00C02A73"/>
    <w:rsid w:val="00C10A22"/>
    <w:rsid w:val="00C1653C"/>
    <w:rsid w:val="00C17B6E"/>
    <w:rsid w:val="00C54A26"/>
    <w:rsid w:val="00C62A4B"/>
    <w:rsid w:val="00C751D8"/>
    <w:rsid w:val="00C81659"/>
    <w:rsid w:val="00C81F30"/>
    <w:rsid w:val="00C949D7"/>
    <w:rsid w:val="00CA2BCB"/>
    <w:rsid w:val="00CA4DF5"/>
    <w:rsid w:val="00CA71EB"/>
    <w:rsid w:val="00CA7595"/>
    <w:rsid w:val="00CB487F"/>
    <w:rsid w:val="00CC162C"/>
    <w:rsid w:val="00CC2CEB"/>
    <w:rsid w:val="00CC3994"/>
    <w:rsid w:val="00CD1FF2"/>
    <w:rsid w:val="00CD3E54"/>
    <w:rsid w:val="00CE0735"/>
    <w:rsid w:val="00CE63B4"/>
    <w:rsid w:val="00D001BC"/>
    <w:rsid w:val="00D00B9D"/>
    <w:rsid w:val="00D01BF0"/>
    <w:rsid w:val="00D01EA2"/>
    <w:rsid w:val="00D05AE3"/>
    <w:rsid w:val="00D14B19"/>
    <w:rsid w:val="00D16672"/>
    <w:rsid w:val="00D25359"/>
    <w:rsid w:val="00D45C65"/>
    <w:rsid w:val="00D5220F"/>
    <w:rsid w:val="00D5510E"/>
    <w:rsid w:val="00D567E1"/>
    <w:rsid w:val="00D60AE7"/>
    <w:rsid w:val="00D64FB6"/>
    <w:rsid w:val="00D87BD1"/>
    <w:rsid w:val="00D87C8D"/>
    <w:rsid w:val="00DA2EB0"/>
    <w:rsid w:val="00DA75A4"/>
    <w:rsid w:val="00DB2B7A"/>
    <w:rsid w:val="00DB6C93"/>
    <w:rsid w:val="00DC273E"/>
    <w:rsid w:val="00DC6E81"/>
    <w:rsid w:val="00DD36F0"/>
    <w:rsid w:val="00DE7CFA"/>
    <w:rsid w:val="00DF17C0"/>
    <w:rsid w:val="00E1416D"/>
    <w:rsid w:val="00E2140E"/>
    <w:rsid w:val="00E40A5B"/>
    <w:rsid w:val="00E42C3F"/>
    <w:rsid w:val="00E43232"/>
    <w:rsid w:val="00E44D66"/>
    <w:rsid w:val="00E46AC7"/>
    <w:rsid w:val="00E6183C"/>
    <w:rsid w:val="00E62D52"/>
    <w:rsid w:val="00E72CD0"/>
    <w:rsid w:val="00E801FB"/>
    <w:rsid w:val="00E81A38"/>
    <w:rsid w:val="00E855ED"/>
    <w:rsid w:val="00E90914"/>
    <w:rsid w:val="00E92937"/>
    <w:rsid w:val="00EB54DC"/>
    <w:rsid w:val="00EB72B6"/>
    <w:rsid w:val="00EF5E79"/>
    <w:rsid w:val="00EF7C83"/>
    <w:rsid w:val="00F0534F"/>
    <w:rsid w:val="00F228B1"/>
    <w:rsid w:val="00F25E4F"/>
    <w:rsid w:val="00F314C0"/>
    <w:rsid w:val="00F31FE0"/>
    <w:rsid w:val="00F34FD8"/>
    <w:rsid w:val="00F36492"/>
    <w:rsid w:val="00F37A22"/>
    <w:rsid w:val="00F41AA5"/>
    <w:rsid w:val="00F5510D"/>
    <w:rsid w:val="00F57E5D"/>
    <w:rsid w:val="00F62395"/>
    <w:rsid w:val="00F75AD4"/>
    <w:rsid w:val="00F91B89"/>
    <w:rsid w:val="00F91BD7"/>
    <w:rsid w:val="00FA727D"/>
    <w:rsid w:val="00FA73F7"/>
    <w:rsid w:val="00FB76FB"/>
    <w:rsid w:val="00FC1E77"/>
    <w:rsid w:val="00FC2313"/>
    <w:rsid w:val="00FD5EB4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1F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11FA"/>
    <w:pPr>
      <w:jc w:val="center"/>
    </w:pPr>
  </w:style>
  <w:style w:type="character" w:customStyle="1" w:styleId="a4">
    <w:name w:val="Основной текст Знак"/>
    <w:link w:val="a3"/>
    <w:semiHidden/>
    <w:locked/>
    <w:rsid w:val="00DF17C0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rsid w:val="006311FA"/>
    <w:pPr>
      <w:ind w:firstLine="720"/>
      <w:jc w:val="both"/>
    </w:pPr>
  </w:style>
  <w:style w:type="character" w:customStyle="1" w:styleId="30">
    <w:name w:val="Основной текст с отступом 3 Знак"/>
    <w:link w:val="3"/>
    <w:semiHidden/>
    <w:locked/>
    <w:rsid w:val="00DB2B7A"/>
    <w:rPr>
      <w:rFonts w:cs="Times New Roman"/>
      <w:sz w:val="28"/>
      <w:szCs w:val="28"/>
      <w:lang w:val="ru-RU" w:eastAsia="ru-RU"/>
    </w:rPr>
  </w:style>
  <w:style w:type="paragraph" w:styleId="a5">
    <w:name w:val="Body Text Indent"/>
    <w:basedOn w:val="a"/>
    <w:link w:val="a6"/>
    <w:rsid w:val="006311FA"/>
    <w:pPr>
      <w:ind w:firstLine="720"/>
    </w:pPr>
  </w:style>
  <w:style w:type="character" w:customStyle="1" w:styleId="a6">
    <w:name w:val="Основной текст с отступом Знак"/>
    <w:link w:val="a5"/>
    <w:semiHidden/>
    <w:locked/>
    <w:rsid w:val="00DF17C0"/>
    <w:rPr>
      <w:rFonts w:cs="Times New Roman"/>
      <w:sz w:val="28"/>
      <w:szCs w:val="28"/>
    </w:rPr>
  </w:style>
  <w:style w:type="paragraph" w:styleId="a7">
    <w:name w:val="Title"/>
    <w:basedOn w:val="a"/>
    <w:link w:val="a8"/>
    <w:qFormat/>
    <w:rsid w:val="006311FA"/>
    <w:pPr>
      <w:ind w:left="6663"/>
      <w:jc w:val="center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DF17C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6311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F17C0"/>
    <w:rPr>
      <w:rFonts w:cs="Times New Roman"/>
      <w:sz w:val="28"/>
      <w:szCs w:val="28"/>
    </w:rPr>
  </w:style>
  <w:style w:type="character" w:styleId="ab">
    <w:name w:val="page number"/>
    <w:rsid w:val="006311FA"/>
    <w:rPr>
      <w:rFonts w:cs="Times New Roman"/>
    </w:rPr>
  </w:style>
  <w:style w:type="paragraph" w:styleId="ac">
    <w:name w:val="Balloon Text"/>
    <w:basedOn w:val="a"/>
    <w:link w:val="ad"/>
    <w:semiHidden/>
    <w:rsid w:val="000B17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7C0"/>
    <w:rPr>
      <w:rFonts w:cs="Times New Roman"/>
      <w:sz w:val="2"/>
    </w:rPr>
  </w:style>
  <w:style w:type="paragraph" w:styleId="ae">
    <w:name w:val="footer"/>
    <w:basedOn w:val="a"/>
    <w:link w:val="af"/>
    <w:rsid w:val="008077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DF17C0"/>
    <w:rPr>
      <w:rFonts w:cs="Times New Roman"/>
      <w:sz w:val="28"/>
      <w:szCs w:val="28"/>
    </w:rPr>
  </w:style>
  <w:style w:type="character" w:customStyle="1" w:styleId="5">
    <w:name w:val="Знак Знак5"/>
    <w:rsid w:val="000C246E"/>
    <w:rPr>
      <w:rFonts w:cs="Times New Roman"/>
      <w:sz w:val="28"/>
      <w:szCs w:val="28"/>
      <w:lang w:val="ru-RU" w:eastAsia="ru-RU"/>
    </w:rPr>
  </w:style>
  <w:style w:type="character" w:customStyle="1" w:styleId="s0">
    <w:name w:val="s0"/>
    <w:rsid w:val="000359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1F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11FA"/>
    <w:pPr>
      <w:jc w:val="center"/>
    </w:pPr>
  </w:style>
  <w:style w:type="character" w:customStyle="1" w:styleId="a4">
    <w:name w:val="Основной текст Знак"/>
    <w:link w:val="a3"/>
    <w:semiHidden/>
    <w:locked/>
    <w:rsid w:val="00DF17C0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rsid w:val="006311FA"/>
    <w:pPr>
      <w:ind w:firstLine="720"/>
      <w:jc w:val="both"/>
    </w:pPr>
  </w:style>
  <w:style w:type="character" w:customStyle="1" w:styleId="30">
    <w:name w:val="Основной текст с отступом 3 Знак"/>
    <w:link w:val="3"/>
    <w:semiHidden/>
    <w:locked/>
    <w:rsid w:val="00DB2B7A"/>
    <w:rPr>
      <w:rFonts w:cs="Times New Roman"/>
      <w:sz w:val="28"/>
      <w:szCs w:val="28"/>
      <w:lang w:val="ru-RU" w:eastAsia="ru-RU"/>
    </w:rPr>
  </w:style>
  <w:style w:type="paragraph" w:styleId="a5">
    <w:name w:val="Body Text Indent"/>
    <w:basedOn w:val="a"/>
    <w:link w:val="a6"/>
    <w:rsid w:val="006311FA"/>
    <w:pPr>
      <w:ind w:firstLine="720"/>
    </w:pPr>
  </w:style>
  <w:style w:type="character" w:customStyle="1" w:styleId="a6">
    <w:name w:val="Основной текст с отступом Знак"/>
    <w:link w:val="a5"/>
    <w:semiHidden/>
    <w:locked/>
    <w:rsid w:val="00DF17C0"/>
    <w:rPr>
      <w:rFonts w:cs="Times New Roman"/>
      <w:sz w:val="28"/>
      <w:szCs w:val="28"/>
    </w:rPr>
  </w:style>
  <w:style w:type="paragraph" w:styleId="a7">
    <w:name w:val="Title"/>
    <w:basedOn w:val="a"/>
    <w:link w:val="a8"/>
    <w:qFormat/>
    <w:rsid w:val="006311FA"/>
    <w:pPr>
      <w:ind w:left="6663"/>
      <w:jc w:val="center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DF17C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6311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F17C0"/>
    <w:rPr>
      <w:rFonts w:cs="Times New Roman"/>
      <w:sz w:val="28"/>
      <w:szCs w:val="28"/>
    </w:rPr>
  </w:style>
  <w:style w:type="character" w:styleId="ab">
    <w:name w:val="page number"/>
    <w:rsid w:val="006311FA"/>
    <w:rPr>
      <w:rFonts w:cs="Times New Roman"/>
    </w:rPr>
  </w:style>
  <w:style w:type="paragraph" w:styleId="ac">
    <w:name w:val="Balloon Text"/>
    <w:basedOn w:val="a"/>
    <w:link w:val="ad"/>
    <w:semiHidden/>
    <w:rsid w:val="000B17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7C0"/>
    <w:rPr>
      <w:rFonts w:cs="Times New Roman"/>
      <w:sz w:val="2"/>
    </w:rPr>
  </w:style>
  <w:style w:type="paragraph" w:styleId="ae">
    <w:name w:val="footer"/>
    <w:basedOn w:val="a"/>
    <w:link w:val="af"/>
    <w:rsid w:val="008077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DF17C0"/>
    <w:rPr>
      <w:rFonts w:cs="Times New Roman"/>
      <w:sz w:val="28"/>
      <w:szCs w:val="28"/>
    </w:rPr>
  </w:style>
  <w:style w:type="character" w:customStyle="1" w:styleId="5">
    <w:name w:val="Знак Знак5"/>
    <w:rsid w:val="000C246E"/>
    <w:rPr>
      <w:rFonts w:cs="Times New Roman"/>
      <w:sz w:val="28"/>
      <w:szCs w:val="28"/>
      <w:lang w:val="ru-RU" w:eastAsia="ru-RU"/>
    </w:rPr>
  </w:style>
  <w:style w:type="character" w:customStyle="1" w:styleId="s0">
    <w:name w:val="s0"/>
    <w:rsid w:val="000359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jl:30819580.0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B5AC3ACEB06140A33D90C7A2C19CFC" ma:contentTypeVersion="1" ma:contentTypeDescription="Создание документа." ma:contentTypeScope="" ma:versionID="5d58bcc2c99b5b2626fb27c1db43224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161d8f4ab7e19718b9f5eb17081f8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FB3677-325A-4D24-AC9A-88C367D578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E87230-88C4-47B0-A60A-16B95FD15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BF0B56-0E03-4793-BA54-41E8FC5E4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96188-DA8C-48C0-9FB2-8A2AE31CC3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Home</Company>
  <LinksUpToDate>false</LinksUpToDate>
  <CharactersWithSpaces>19442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jl:30819580.0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asaparova</dc:creator>
  <cp:lastModifiedBy>Момышева Эльмира</cp:lastModifiedBy>
  <cp:revision>17</cp:revision>
  <cp:lastPrinted>2013-12-25T14:44:00Z</cp:lastPrinted>
  <dcterms:created xsi:type="dcterms:W3CDTF">2018-02-28T20:54:00Z</dcterms:created>
  <dcterms:modified xsi:type="dcterms:W3CDTF">2018-03-19T13:27:00Z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asaparova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