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27487D" w:rsidTr="0027487D">
        <w:tc>
          <w:tcPr>
            <w:tcW w:w="9570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354"/>
            </w:tblGrid>
            <w:tr w:rsidR="00C617BD" w:rsidTr="00C617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4" w:type="dxa"/>
                  <w:shd w:val="clear" w:color="auto" w:fill="auto"/>
                </w:tcPr>
                <w:p w:rsidR="00C617BD" w:rsidRPr="00C617BD" w:rsidRDefault="00C617BD" w:rsidP="005C4E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color w:val="0C0000"/>
                      <w:sz w:val="24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C0000"/>
                      <w:sz w:val="24"/>
                      <w:szCs w:val="16"/>
                    </w:rPr>
                    <w:t>18.05.2018-ғы № МКД-ТЖБ-15-11/2707-іқ/ш шығыс хаты</w:t>
                  </w:r>
                </w:p>
              </w:tc>
            </w:tr>
          </w:tbl>
          <w:p w:rsidR="0027487D" w:rsidRPr="0027487D" w:rsidRDefault="0027487D" w:rsidP="005C4E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</w:pPr>
          </w:p>
        </w:tc>
      </w:tr>
    </w:tbl>
    <w:p w:rsidR="008813CB" w:rsidRDefault="008813CB" w:rsidP="005C4E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097856" cy="704850"/>
            <wp:effectExtent l="0" t="0" r="7620" b="0"/>
            <wp:docPr id="2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CB" w:rsidRDefault="008813CB" w:rsidP="005C4E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813CB" w:rsidRPr="0049495D" w:rsidRDefault="008813CB" w:rsidP="005C4E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8813CB" w:rsidRPr="0049495D" w:rsidRDefault="008813CB" w:rsidP="005C4E0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8813CB" w:rsidRPr="00561B8F" w:rsidRDefault="00CD14E5" w:rsidP="005C4E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4E5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E216D4" w:rsidRPr="00E216D4" w:rsidRDefault="00E216D4" w:rsidP="005C4E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16D4" w:rsidRPr="00E216D4" w:rsidRDefault="00E216D4" w:rsidP="005C4E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E216D4" w:rsidRPr="00E216D4" w:rsidRDefault="00E216D4" w:rsidP="005C4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E216D4" w:rsidRPr="00E216D4" w:rsidTr="00D30C19">
        <w:tc>
          <w:tcPr>
            <w:tcW w:w="3544" w:type="dxa"/>
            <w:shd w:val="clear" w:color="auto" w:fill="auto"/>
          </w:tcPr>
          <w:p w:rsidR="00E216D4" w:rsidRPr="00E216D4" w:rsidRDefault="00E216D4" w:rsidP="005C4E0B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3027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27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3027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марта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CD6BC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  <w:r w:rsidR="00F345A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E216D4" w:rsidRPr="00E216D4" w:rsidRDefault="00E216D4" w:rsidP="005C4E0B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30273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3793" w:type="dxa"/>
            <w:shd w:val="clear" w:color="auto" w:fill="auto"/>
          </w:tcPr>
          <w:p w:rsidR="00E216D4" w:rsidRPr="00E216D4" w:rsidRDefault="00E216D4" w:rsidP="005C4E0B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3027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Москва</w:t>
            </w:r>
          </w:p>
        </w:tc>
      </w:tr>
    </w:tbl>
    <w:p w:rsidR="00E216D4" w:rsidRDefault="00CD14E5" w:rsidP="005C4E0B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8pt;margin-top:-240.25pt;width:501.75pt;height:252.55pt;z-index:-251658240;mso-position-horizontal-relative:text;mso-position-vertical-relative:text">
            <v:imagedata r:id="rId8" o:title=""/>
          </v:shape>
          <o:OLEObject Type="Embed" ProgID="PBrush" ShapeID="_x0000_s1027" DrawAspect="Content" ObjectID="_1602420494" r:id="rId9"/>
        </w:pict>
      </w:r>
    </w:p>
    <w:p w:rsidR="002E3796" w:rsidRDefault="00481A28" w:rsidP="005C4E0B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EB2F4E">
        <w:rPr>
          <w:rFonts w:ascii="Times New Roman" w:eastAsia="Calibri" w:hAnsi="Times New Roman" w:cs="Times New Roman"/>
          <w:b/>
          <w:sz w:val="30"/>
          <w:szCs w:val="30"/>
        </w:rPr>
        <w:t xml:space="preserve">Об особенностях </w:t>
      </w:r>
      <w:r w:rsidR="002E3796">
        <w:rPr>
          <w:rFonts w:ascii="Times New Roman" w:eastAsia="Calibri" w:hAnsi="Times New Roman" w:cs="Times New Roman"/>
          <w:b/>
          <w:sz w:val="30"/>
          <w:szCs w:val="30"/>
        </w:rPr>
        <w:t xml:space="preserve">проведения таможенного </w:t>
      </w:r>
      <w:r w:rsidRPr="00EB2F4E">
        <w:rPr>
          <w:rFonts w:ascii="Times New Roman" w:eastAsia="Calibri" w:hAnsi="Times New Roman" w:cs="Times New Roman"/>
          <w:b/>
          <w:sz w:val="30"/>
          <w:szCs w:val="30"/>
        </w:rPr>
        <w:t xml:space="preserve">контроля </w:t>
      </w:r>
    </w:p>
    <w:p w:rsidR="00481A28" w:rsidRPr="00EB2F4E" w:rsidRDefault="00481A28" w:rsidP="005C4E0B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EB2F4E">
        <w:rPr>
          <w:rFonts w:ascii="Times New Roman" w:eastAsia="Calibri" w:hAnsi="Times New Roman" w:cs="Times New Roman"/>
          <w:b/>
          <w:sz w:val="30"/>
          <w:szCs w:val="30"/>
        </w:rPr>
        <w:t>таможенной стоимости товаров</w:t>
      </w:r>
      <w:r w:rsidR="002E3796">
        <w:rPr>
          <w:rFonts w:ascii="Times New Roman" w:eastAsia="Calibri" w:hAnsi="Times New Roman" w:cs="Times New Roman"/>
          <w:b/>
          <w:sz w:val="30"/>
          <w:szCs w:val="30"/>
        </w:rPr>
        <w:t>, ввозимых на таможенную территорию Евразийского экономического союза</w:t>
      </w:r>
    </w:p>
    <w:p w:rsidR="00481A28" w:rsidRPr="00EB2F4E" w:rsidRDefault="00481A28" w:rsidP="005C4E0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</w:p>
    <w:p w:rsidR="00481A28" w:rsidRPr="00CA23D0" w:rsidRDefault="00481A28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CA23D0">
        <w:rPr>
          <w:rFonts w:ascii="Times New Roman" w:eastAsia="Calibri" w:hAnsi="Times New Roman"/>
          <w:sz w:val="30"/>
          <w:szCs w:val="30"/>
        </w:rPr>
        <w:t xml:space="preserve">пунктом 5 статьи 105 и пунктом 3 статьи 313 </w:t>
      </w:r>
      <w:r w:rsidRPr="00CA23D0">
        <w:rPr>
          <w:rFonts w:ascii="Times New Roman" w:hAnsi="Times New Roman" w:cs="Times New Roman"/>
          <w:sz w:val="30"/>
          <w:szCs w:val="30"/>
        </w:rPr>
        <w:t>Таможенного кодекса Евразийского экономического союза Коллегия Евразийской экономической комиссии</w:t>
      </w:r>
      <w:r w:rsidRPr="00CA23D0">
        <w:rPr>
          <w:rFonts w:ascii="Times New Roman" w:hAnsi="Times New Roman" w:cs="Times New Roman"/>
          <w:b/>
          <w:spacing w:val="40"/>
          <w:sz w:val="30"/>
          <w:szCs w:val="30"/>
        </w:rPr>
        <w:t xml:space="preserve"> решил</w:t>
      </w:r>
      <w:r w:rsidRPr="00CA23D0">
        <w:rPr>
          <w:rFonts w:ascii="Times New Roman" w:hAnsi="Times New Roman" w:cs="Times New Roman"/>
          <w:b/>
          <w:sz w:val="30"/>
          <w:szCs w:val="30"/>
        </w:rPr>
        <w:t>а:</w:t>
      </w:r>
    </w:p>
    <w:p w:rsidR="00481A28" w:rsidRPr="00CA23D0" w:rsidRDefault="00481A28" w:rsidP="005C4E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2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Утвердить прилагаемое Положение об особенностях </w:t>
      </w:r>
      <w:r w:rsidR="00F470DA" w:rsidRPr="00CA2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проведения таможенного </w:t>
      </w:r>
      <w:r w:rsidRPr="00CA23D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таможенной стоимости товаров</w:t>
      </w:r>
      <w:r w:rsidR="00F470DA" w:rsidRPr="00CA2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ввозимых на таможенную территорию </w:t>
      </w:r>
      <w:r w:rsidR="00F470DA" w:rsidRPr="00CA23D0">
        <w:rPr>
          <w:rFonts w:ascii="Times New Roman" w:hAnsi="Times New Roman" w:cs="Times New Roman"/>
          <w:sz w:val="30"/>
          <w:szCs w:val="30"/>
        </w:rPr>
        <w:t>Евразийского экономического союза</w:t>
      </w:r>
      <w:r w:rsidRPr="00CA23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81A28" w:rsidRPr="00CA23D0" w:rsidRDefault="00481A28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 xml:space="preserve">2. Внести в </w:t>
      </w:r>
      <w:hyperlink r:id="rId10" w:history="1">
        <w:r w:rsidRPr="00CA23D0">
          <w:rPr>
            <w:rFonts w:ascii="Times New Roman" w:hAnsi="Times New Roman" w:cs="Times New Roman"/>
            <w:sz w:val="30"/>
            <w:szCs w:val="30"/>
          </w:rPr>
          <w:t>Инструкцию</w:t>
        </w:r>
      </w:hyperlink>
      <w:r w:rsidRPr="00CA23D0">
        <w:rPr>
          <w:rFonts w:ascii="Times New Roman" w:hAnsi="Times New Roman" w:cs="Times New Roman"/>
          <w:sz w:val="30"/>
          <w:szCs w:val="30"/>
        </w:rPr>
        <w:t xml:space="preserve"> о порядке заполнения декларации на товары, утвержденную Решением Комиссии Таможенного союза</w:t>
      </w:r>
      <w:r w:rsidR="00907A28" w:rsidRPr="00CA23D0">
        <w:rPr>
          <w:rFonts w:ascii="Times New Roman" w:hAnsi="Times New Roman" w:cs="Times New Roman"/>
          <w:sz w:val="30"/>
          <w:szCs w:val="30"/>
        </w:rPr>
        <w:br/>
      </w:r>
      <w:r w:rsidRPr="00CA23D0">
        <w:rPr>
          <w:rFonts w:ascii="Times New Roman" w:hAnsi="Times New Roman" w:cs="Times New Roman"/>
          <w:sz w:val="30"/>
          <w:szCs w:val="30"/>
        </w:rPr>
        <w:t>от 20 мая 2010 г. № 257, следующие изменения:</w:t>
      </w:r>
    </w:p>
    <w:p w:rsidR="00481A28" w:rsidRPr="00CA23D0" w:rsidRDefault="00481A28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 xml:space="preserve">а) абзац двадцатый (после таблицы) </w:t>
      </w:r>
      <w:hyperlink r:id="rId11" w:history="1">
        <w:r w:rsidRPr="00CA23D0">
          <w:rPr>
            <w:rFonts w:ascii="Times New Roman" w:hAnsi="Times New Roman" w:cs="Times New Roman"/>
            <w:sz w:val="30"/>
            <w:szCs w:val="30"/>
          </w:rPr>
          <w:t>подпункта 42 пункта 15</w:t>
        </w:r>
      </w:hyperlink>
      <w:r w:rsidRPr="00CA23D0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481A28" w:rsidRPr="00CA23D0" w:rsidRDefault="00481A28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 xml:space="preserve">«регистрационный номер декларации на товары в отношении ранее ввезенных идентичных товаров в случае, предусмотренном </w:t>
      </w:r>
      <w:r w:rsidRPr="00CA23D0">
        <w:rPr>
          <w:rFonts w:ascii="Times New Roman" w:hAnsi="Times New Roman" w:cs="Times New Roman"/>
          <w:sz w:val="30"/>
          <w:szCs w:val="30"/>
        </w:rPr>
        <w:br/>
        <w:t xml:space="preserve">пунктом 6 Положения об особенностях контроля таможенной стоимости товаров, утвержденного Решением Коллегии Евразийской экономической комиссии от </w:t>
      </w:r>
      <w:r w:rsidR="0030273E">
        <w:rPr>
          <w:rFonts w:ascii="Times New Roman" w:hAnsi="Times New Roman" w:cs="Times New Roman"/>
          <w:sz w:val="30"/>
          <w:szCs w:val="30"/>
        </w:rPr>
        <w:t>27 марта 2018 г.</w:t>
      </w:r>
      <w:r w:rsidRPr="00CA23D0">
        <w:rPr>
          <w:rFonts w:ascii="Times New Roman" w:hAnsi="Times New Roman" w:cs="Times New Roman"/>
          <w:sz w:val="30"/>
          <w:szCs w:val="30"/>
        </w:rPr>
        <w:t xml:space="preserve"> № </w:t>
      </w:r>
      <w:r w:rsidR="0030273E">
        <w:rPr>
          <w:rFonts w:ascii="Times New Roman" w:hAnsi="Times New Roman" w:cs="Times New Roman"/>
          <w:sz w:val="30"/>
          <w:szCs w:val="30"/>
        </w:rPr>
        <w:t>42</w:t>
      </w:r>
      <w:r w:rsidRPr="00CA23D0">
        <w:rPr>
          <w:rFonts w:ascii="Times New Roman" w:hAnsi="Times New Roman" w:cs="Times New Roman"/>
          <w:sz w:val="30"/>
          <w:szCs w:val="30"/>
        </w:rPr>
        <w:t>;»;</w:t>
      </w:r>
    </w:p>
    <w:p w:rsidR="00481A28" w:rsidRPr="00CA23D0" w:rsidRDefault="00481A28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 xml:space="preserve">б) абзац двадцать восьмой </w:t>
      </w:r>
      <w:hyperlink r:id="rId12" w:history="1">
        <w:r w:rsidRPr="00CA23D0">
          <w:rPr>
            <w:rFonts w:ascii="Times New Roman" w:hAnsi="Times New Roman" w:cs="Times New Roman"/>
            <w:sz w:val="30"/>
            <w:szCs w:val="30"/>
          </w:rPr>
          <w:t>подпункта 4 пункта 43</w:t>
        </w:r>
      </w:hyperlink>
      <w:r w:rsidRPr="00CA23D0">
        <w:rPr>
          <w:rFonts w:ascii="Times New Roman" w:hAnsi="Times New Roman" w:cs="Times New Roman"/>
          <w:sz w:val="30"/>
          <w:szCs w:val="30"/>
        </w:rPr>
        <w:t xml:space="preserve"> изложить </w:t>
      </w:r>
      <w:r w:rsidRPr="00CA23D0">
        <w:rPr>
          <w:rFonts w:ascii="Times New Roman" w:hAnsi="Times New Roman" w:cs="Times New Roman"/>
          <w:sz w:val="30"/>
          <w:szCs w:val="30"/>
        </w:rPr>
        <w:br/>
        <w:t>в следующей редакции:</w:t>
      </w:r>
    </w:p>
    <w:p w:rsidR="00481A28" w:rsidRPr="00CA23D0" w:rsidRDefault="00481A28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 xml:space="preserve">«элемент 6 – указывается дата окончания срока, в течение которого декларант должен представить таможенному органу документы и (или) сведения, в том числе письменные пояснения, запрошенные таможенным органом у декларанта в соответствии </w:t>
      </w:r>
      <w:r w:rsidRPr="00CA23D0">
        <w:rPr>
          <w:rFonts w:ascii="Times New Roman" w:hAnsi="Times New Roman" w:cs="Times New Roman"/>
          <w:sz w:val="30"/>
          <w:szCs w:val="30"/>
        </w:rPr>
        <w:br/>
        <w:t xml:space="preserve">с пунктом 4 статьи 325 Таможенного кодекса Евразийского </w:t>
      </w:r>
      <w:r w:rsidRPr="00CA23D0">
        <w:rPr>
          <w:rFonts w:ascii="Times New Roman" w:hAnsi="Times New Roman" w:cs="Times New Roman"/>
          <w:sz w:val="30"/>
          <w:szCs w:val="30"/>
        </w:rPr>
        <w:lastRenderedPageBreak/>
        <w:t>экономического союза при проведении контроля таможенной стоимости товаров.».</w:t>
      </w:r>
    </w:p>
    <w:p w:rsidR="00225AB6" w:rsidRPr="00CA23D0" w:rsidRDefault="00225AB6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 xml:space="preserve">3. Внести в Правила применения метода определения таможенной стоимости товаров по стоимости сделки с ввозимыми товарами </w:t>
      </w:r>
      <w:r w:rsidR="00821FAD" w:rsidRPr="00CA23D0">
        <w:rPr>
          <w:rFonts w:ascii="Times New Roman" w:hAnsi="Times New Roman" w:cs="Times New Roman"/>
          <w:sz w:val="30"/>
          <w:szCs w:val="30"/>
        </w:rPr>
        <w:br/>
      </w:r>
      <w:r w:rsidRPr="00CA23D0">
        <w:rPr>
          <w:rFonts w:ascii="Times New Roman" w:hAnsi="Times New Roman" w:cs="Times New Roman"/>
          <w:sz w:val="30"/>
          <w:szCs w:val="30"/>
        </w:rPr>
        <w:t>(метод 1), утвержденные Решением Коллегии Евразийской экономической комиссии от 20</w:t>
      </w:r>
      <w:r w:rsidR="006D308E" w:rsidRPr="00CA23D0">
        <w:rPr>
          <w:rFonts w:ascii="Times New Roman" w:hAnsi="Times New Roman" w:cs="Times New Roman"/>
          <w:sz w:val="30"/>
          <w:szCs w:val="30"/>
        </w:rPr>
        <w:t xml:space="preserve"> декабря 2012 г. № </w:t>
      </w:r>
      <w:r w:rsidRPr="00CA23D0">
        <w:rPr>
          <w:rFonts w:ascii="Times New Roman" w:hAnsi="Times New Roman" w:cs="Times New Roman"/>
          <w:sz w:val="30"/>
          <w:szCs w:val="30"/>
        </w:rPr>
        <w:t>283</w:t>
      </w:r>
      <w:r w:rsidR="006D308E" w:rsidRPr="00CA23D0">
        <w:rPr>
          <w:rFonts w:ascii="Times New Roman" w:hAnsi="Times New Roman" w:cs="Times New Roman"/>
          <w:sz w:val="30"/>
          <w:szCs w:val="30"/>
        </w:rPr>
        <w:t xml:space="preserve">, </w:t>
      </w:r>
      <w:r w:rsidRPr="00CA23D0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225AB6" w:rsidRPr="00CA23D0" w:rsidRDefault="00225AB6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>а) </w:t>
      </w:r>
      <w:r w:rsidR="006D308E" w:rsidRPr="00CA23D0">
        <w:rPr>
          <w:rFonts w:ascii="Times New Roman" w:hAnsi="Times New Roman" w:cs="Times New Roman"/>
          <w:sz w:val="30"/>
          <w:szCs w:val="30"/>
        </w:rPr>
        <w:t xml:space="preserve">предложение </w:t>
      </w:r>
      <w:r w:rsidR="00821FAD" w:rsidRPr="00CA23D0">
        <w:rPr>
          <w:rFonts w:ascii="Times New Roman" w:hAnsi="Times New Roman" w:cs="Times New Roman"/>
          <w:sz w:val="30"/>
          <w:szCs w:val="30"/>
        </w:rPr>
        <w:t xml:space="preserve">первое </w:t>
      </w:r>
      <w:r w:rsidR="006D308E" w:rsidRPr="00CA23D0">
        <w:rPr>
          <w:rFonts w:ascii="Times New Roman" w:hAnsi="Times New Roman" w:cs="Times New Roman"/>
          <w:sz w:val="30"/>
          <w:szCs w:val="30"/>
        </w:rPr>
        <w:t>пункта 14 изложить в следующей редакции:</w:t>
      </w:r>
    </w:p>
    <w:p w:rsidR="006D308E" w:rsidRPr="00CA23D0" w:rsidRDefault="006D308E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>«В случае если в ходе проведения таможенного контроля таможенной стоимости товаров, заявленной при таможенном декларировании, таможенны</w:t>
      </w:r>
      <w:r w:rsidR="005232E3" w:rsidRPr="00CA23D0">
        <w:rPr>
          <w:rFonts w:ascii="Times New Roman" w:hAnsi="Times New Roman" w:cs="Times New Roman"/>
          <w:sz w:val="30"/>
          <w:szCs w:val="30"/>
        </w:rPr>
        <w:t>м</w:t>
      </w:r>
      <w:r w:rsidRPr="00CA23D0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5232E3" w:rsidRPr="00CA23D0">
        <w:rPr>
          <w:rFonts w:ascii="Times New Roman" w:hAnsi="Times New Roman" w:cs="Times New Roman"/>
          <w:sz w:val="30"/>
          <w:szCs w:val="30"/>
        </w:rPr>
        <w:t>ом</w:t>
      </w:r>
      <w:r w:rsidRPr="00CA23D0">
        <w:rPr>
          <w:rFonts w:ascii="Times New Roman" w:hAnsi="Times New Roman" w:cs="Times New Roman"/>
          <w:sz w:val="30"/>
          <w:szCs w:val="30"/>
        </w:rPr>
        <w:t xml:space="preserve"> не обнаруж</w:t>
      </w:r>
      <w:r w:rsidR="005232E3" w:rsidRPr="00CA23D0">
        <w:rPr>
          <w:rFonts w:ascii="Times New Roman" w:hAnsi="Times New Roman" w:cs="Times New Roman"/>
          <w:sz w:val="30"/>
          <w:szCs w:val="30"/>
        </w:rPr>
        <w:t>ены</w:t>
      </w:r>
      <w:r w:rsidRPr="00CA23D0">
        <w:rPr>
          <w:rFonts w:ascii="Times New Roman" w:hAnsi="Times New Roman" w:cs="Times New Roman"/>
          <w:sz w:val="30"/>
          <w:szCs w:val="30"/>
        </w:rPr>
        <w:t xml:space="preserve"> признак</w:t>
      </w:r>
      <w:r w:rsidR="005232E3" w:rsidRPr="00CA23D0">
        <w:rPr>
          <w:rFonts w:ascii="Times New Roman" w:hAnsi="Times New Roman" w:cs="Times New Roman"/>
          <w:sz w:val="30"/>
          <w:szCs w:val="30"/>
        </w:rPr>
        <w:t>и</w:t>
      </w:r>
      <w:r w:rsidRPr="00CA23D0">
        <w:rPr>
          <w:rFonts w:ascii="Times New Roman" w:hAnsi="Times New Roman" w:cs="Times New Roman"/>
          <w:sz w:val="30"/>
          <w:szCs w:val="30"/>
        </w:rPr>
        <w:t xml:space="preserve"> влияния взаимосвязи между продавцом и покупателем на цену, фактически уплаченную или подлежащую уплате, </w:t>
      </w:r>
      <w:r w:rsidR="005232E3" w:rsidRPr="00CA23D0">
        <w:rPr>
          <w:rFonts w:ascii="Times New Roman" w:hAnsi="Times New Roman" w:cs="Times New Roman"/>
          <w:sz w:val="30"/>
          <w:szCs w:val="30"/>
        </w:rPr>
        <w:t>являющиеся</w:t>
      </w:r>
      <w:r w:rsidRPr="00CA23D0">
        <w:rPr>
          <w:rFonts w:ascii="Times New Roman" w:hAnsi="Times New Roman" w:cs="Times New Roman"/>
          <w:sz w:val="30"/>
          <w:szCs w:val="30"/>
        </w:rPr>
        <w:t xml:space="preserve"> основани</w:t>
      </w:r>
      <w:r w:rsidR="005232E3" w:rsidRPr="00CA23D0">
        <w:rPr>
          <w:rFonts w:ascii="Times New Roman" w:hAnsi="Times New Roman" w:cs="Times New Roman"/>
          <w:sz w:val="30"/>
          <w:szCs w:val="30"/>
        </w:rPr>
        <w:t>ями</w:t>
      </w:r>
      <w:r w:rsidRPr="00CA23D0">
        <w:rPr>
          <w:rFonts w:ascii="Times New Roman" w:hAnsi="Times New Roman" w:cs="Times New Roman"/>
          <w:sz w:val="30"/>
          <w:szCs w:val="30"/>
        </w:rPr>
        <w:t xml:space="preserve"> для признания стоимости сделки неприемлемой для целей определения таможенной стоимости товаров, то при отсутствии иных признаков недостоверного определения таможенной стоимости товаров стоимость сделки принимается вкачестве таможенной стоимости товаров.»;</w:t>
      </w:r>
    </w:p>
    <w:p w:rsidR="006D308E" w:rsidRPr="00CA23D0" w:rsidRDefault="006D308E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 xml:space="preserve">б) абзацы первый и второй пункта 15 </w:t>
      </w:r>
      <w:r w:rsidR="005232E3" w:rsidRPr="00CA23D0">
        <w:rPr>
          <w:rFonts w:ascii="Times New Roman" w:hAnsi="Times New Roman" w:cs="Times New Roman"/>
          <w:sz w:val="30"/>
          <w:szCs w:val="30"/>
        </w:rPr>
        <w:t>заменить абзацем следующего содержания</w:t>
      </w:r>
      <w:r w:rsidRPr="00CA23D0">
        <w:rPr>
          <w:rFonts w:ascii="Times New Roman" w:hAnsi="Times New Roman" w:cs="Times New Roman"/>
          <w:sz w:val="30"/>
          <w:szCs w:val="30"/>
        </w:rPr>
        <w:t>:</w:t>
      </w:r>
    </w:p>
    <w:p w:rsidR="006D308E" w:rsidRDefault="006D308E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>«</w:t>
      </w:r>
      <w:r w:rsidR="00F612F9" w:rsidRPr="00CA23D0">
        <w:rPr>
          <w:rFonts w:ascii="Times New Roman" w:hAnsi="Times New Roman" w:cs="Times New Roman"/>
          <w:sz w:val="30"/>
          <w:szCs w:val="30"/>
        </w:rPr>
        <w:t>15. </w:t>
      </w:r>
      <w:r w:rsidRPr="00CA23D0">
        <w:rPr>
          <w:rFonts w:ascii="Times New Roman" w:hAnsi="Times New Roman" w:cs="Times New Roman"/>
          <w:sz w:val="30"/>
          <w:szCs w:val="30"/>
        </w:rPr>
        <w:t>В случае если в ходе проведения таможенного контроля таможенной стоимости товаров, заявленной при таможенном декларировании, таможенны</w:t>
      </w:r>
      <w:r w:rsidR="00F612F9" w:rsidRPr="00CA23D0">
        <w:rPr>
          <w:rFonts w:ascii="Times New Roman" w:hAnsi="Times New Roman" w:cs="Times New Roman"/>
          <w:sz w:val="30"/>
          <w:szCs w:val="30"/>
        </w:rPr>
        <w:t>м</w:t>
      </w:r>
      <w:r w:rsidRPr="00CA23D0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F612F9" w:rsidRPr="00CA23D0">
        <w:rPr>
          <w:rFonts w:ascii="Times New Roman" w:hAnsi="Times New Roman" w:cs="Times New Roman"/>
          <w:sz w:val="30"/>
          <w:szCs w:val="30"/>
        </w:rPr>
        <w:t>ом</w:t>
      </w:r>
      <w:r w:rsidRPr="00CA23D0">
        <w:rPr>
          <w:rFonts w:ascii="Times New Roman" w:hAnsi="Times New Roman" w:cs="Times New Roman"/>
          <w:sz w:val="30"/>
          <w:szCs w:val="30"/>
        </w:rPr>
        <w:t xml:space="preserve"> обнаруж</w:t>
      </w:r>
      <w:r w:rsidR="00F612F9" w:rsidRPr="00CA23D0">
        <w:rPr>
          <w:rFonts w:ascii="Times New Roman" w:hAnsi="Times New Roman" w:cs="Times New Roman"/>
          <w:sz w:val="30"/>
          <w:szCs w:val="30"/>
        </w:rPr>
        <w:t>ены</w:t>
      </w:r>
      <w:r w:rsidRPr="00CA23D0">
        <w:rPr>
          <w:rFonts w:ascii="Times New Roman" w:hAnsi="Times New Roman" w:cs="Times New Roman"/>
          <w:sz w:val="30"/>
          <w:szCs w:val="30"/>
        </w:rPr>
        <w:t xml:space="preserve"> признаки влияния взаимосвязи между продавцом и покупателем на цену, фактически уплаченную или подлежащую уплате, и представленные декларантом (таможенным представителем) документы и сведения, отражающие сопутствующие продаже обстоятельства, не устраняют такие обнаруженные признаки, то декларант (таможенный представитель) имеет право представить документы и сведения, подтверждающие, </w:t>
      </w:r>
      <w:r w:rsidR="009C5CE2" w:rsidRPr="00CA23D0">
        <w:rPr>
          <w:rFonts w:ascii="Times New Roman" w:hAnsi="Times New Roman" w:cs="Times New Roman"/>
          <w:sz w:val="30"/>
          <w:szCs w:val="30"/>
        </w:rPr>
        <w:br/>
      </w:r>
      <w:r w:rsidRPr="00CA23D0">
        <w:rPr>
          <w:rFonts w:ascii="Times New Roman" w:hAnsi="Times New Roman" w:cs="Times New Roman"/>
          <w:sz w:val="30"/>
          <w:szCs w:val="30"/>
        </w:rPr>
        <w:t xml:space="preserve">что стоимость сделки с ввозимыми товарами близка к одной </w:t>
      </w:r>
      <w:r w:rsidR="009C5CE2" w:rsidRPr="00CA23D0">
        <w:rPr>
          <w:rFonts w:ascii="Times New Roman" w:hAnsi="Times New Roman" w:cs="Times New Roman"/>
          <w:sz w:val="30"/>
          <w:szCs w:val="30"/>
        </w:rPr>
        <w:br/>
      </w:r>
      <w:r w:rsidRPr="00192DD8">
        <w:rPr>
          <w:rFonts w:ascii="Times New Roman" w:hAnsi="Times New Roman" w:cs="Times New Roman"/>
          <w:sz w:val="30"/>
          <w:szCs w:val="30"/>
        </w:rPr>
        <w:t>из проверочных величин.</w:t>
      </w:r>
      <w:r w:rsidR="00F612F9" w:rsidRPr="00192DD8">
        <w:rPr>
          <w:rFonts w:ascii="Times New Roman" w:hAnsi="Times New Roman" w:cs="Times New Roman"/>
          <w:sz w:val="30"/>
          <w:szCs w:val="30"/>
        </w:rPr>
        <w:t>»</w:t>
      </w:r>
      <w:r w:rsidR="00CC3B11">
        <w:rPr>
          <w:rFonts w:ascii="Times New Roman" w:hAnsi="Times New Roman" w:cs="Times New Roman"/>
          <w:sz w:val="30"/>
          <w:szCs w:val="30"/>
        </w:rPr>
        <w:t>;</w:t>
      </w:r>
    </w:p>
    <w:p w:rsidR="00CC3B11" w:rsidRPr="00192DD8" w:rsidRDefault="00CC3B11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 пункт 16 признать утратившим силу.</w:t>
      </w:r>
    </w:p>
    <w:p w:rsidR="00481A28" w:rsidRPr="00CA23D0" w:rsidRDefault="00225AB6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>4</w:t>
      </w:r>
      <w:r w:rsidR="00481A28" w:rsidRPr="00CA23D0">
        <w:rPr>
          <w:rFonts w:ascii="Times New Roman" w:hAnsi="Times New Roman" w:cs="Times New Roman"/>
          <w:sz w:val="30"/>
          <w:szCs w:val="30"/>
        </w:rPr>
        <w:t>. Признать утратившими силу:</w:t>
      </w:r>
    </w:p>
    <w:p w:rsidR="00481A28" w:rsidRPr="00CA23D0" w:rsidRDefault="00481A28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>абзац</w:t>
      </w:r>
      <w:r w:rsidR="00907A28" w:rsidRPr="00CA23D0">
        <w:rPr>
          <w:rFonts w:ascii="Times New Roman" w:hAnsi="Times New Roman" w:cs="Times New Roman"/>
          <w:sz w:val="30"/>
          <w:szCs w:val="30"/>
        </w:rPr>
        <w:t>ы</w:t>
      </w:r>
      <w:r w:rsidRPr="00CA23D0">
        <w:rPr>
          <w:rFonts w:ascii="Times New Roman" w:hAnsi="Times New Roman" w:cs="Times New Roman"/>
          <w:sz w:val="30"/>
          <w:szCs w:val="30"/>
        </w:rPr>
        <w:t xml:space="preserve"> третий и четвертый </w:t>
      </w:r>
      <w:r w:rsidR="00F470DA" w:rsidRPr="00CA23D0">
        <w:rPr>
          <w:rFonts w:ascii="Times New Roman" w:hAnsi="Times New Roman" w:cs="Times New Roman"/>
          <w:sz w:val="30"/>
          <w:szCs w:val="30"/>
        </w:rPr>
        <w:t xml:space="preserve">пункта 1 </w:t>
      </w:r>
      <w:r w:rsidRPr="00CA23D0">
        <w:rPr>
          <w:rFonts w:ascii="Times New Roman" w:hAnsi="Times New Roman" w:cs="Times New Roman"/>
          <w:sz w:val="30"/>
          <w:szCs w:val="30"/>
        </w:rPr>
        <w:t>Решения Комиссии Таможенного союза от 20 сентября 2010 г. № 376 «О порядках декларирования, контроля и корректировки таможенной стоимости товаров»;</w:t>
      </w:r>
    </w:p>
    <w:p w:rsidR="00225AB6" w:rsidRPr="00CA23D0" w:rsidRDefault="00225AB6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 xml:space="preserve">пункт 13 Правил применения метода сложения (метод 5) при определении таможенной стоимости товаров, утвержденных Решением </w:t>
      </w:r>
      <w:r w:rsidRPr="00CA23D0">
        <w:rPr>
          <w:rFonts w:ascii="Times New Roman" w:hAnsi="Times New Roman" w:cs="Times New Roman"/>
          <w:sz w:val="30"/>
          <w:szCs w:val="30"/>
        </w:rPr>
        <w:lastRenderedPageBreak/>
        <w:t>Коллегии Евразийской экономической комиссии от 12 декабря 2012 г. № 273;</w:t>
      </w:r>
    </w:p>
    <w:p w:rsidR="00481A28" w:rsidRPr="00CA23D0" w:rsidRDefault="00481A28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 xml:space="preserve">абзац второй подпункта «а» пункта 11 </w:t>
      </w:r>
      <w:hyperlink r:id="rId13" w:history="1">
        <w:r w:rsidRPr="00CA23D0">
          <w:rPr>
            <w:rFonts w:ascii="Times New Roman" w:hAnsi="Times New Roman" w:cs="Times New Roman"/>
            <w:sz w:val="30"/>
            <w:szCs w:val="30"/>
          </w:rPr>
          <w:t>Порядка</w:t>
        </w:r>
      </w:hyperlink>
      <w:r w:rsidRPr="00CA23D0">
        <w:rPr>
          <w:rFonts w:ascii="Times New Roman" w:hAnsi="Times New Roman" w:cs="Times New Roman"/>
          <w:sz w:val="30"/>
          <w:szCs w:val="30"/>
        </w:rPr>
        <w:t xml:space="preserve"> внесения изменений </w:t>
      </w:r>
      <w:r w:rsidR="00F470DA" w:rsidRPr="00CA23D0">
        <w:rPr>
          <w:rFonts w:ascii="Times New Roman" w:hAnsi="Times New Roman" w:cs="Times New Roman"/>
          <w:sz w:val="30"/>
          <w:szCs w:val="30"/>
        </w:rPr>
        <w:t>(</w:t>
      </w:r>
      <w:r w:rsidRPr="00CA23D0">
        <w:rPr>
          <w:rFonts w:ascii="Times New Roman" w:hAnsi="Times New Roman" w:cs="Times New Roman"/>
          <w:sz w:val="30"/>
          <w:szCs w:val="30"/>
        </w:rPr>
        <w:t>дополнений</w:t>
      </w:r>
      <w:r w:rsidR="00F470DA" w:rsidRPr="00CA23D0">
        <w:rPr>
          <w:rFonts w:ascii="Times New Roman" w:hAnsi="Times New Roman" w:cs="Times New Roman"/>
          <w:sz w:val="30"/>
          <w:szCs w:val="30"/>
        </w:rPr>
        <w:t>)</w:t>
      </w:r>
      <w:r w:rsidRPr="00CA23D0">
        <w:rPr>
          <w:rFonts w:ascii="Times New Roman" w:hAnsi="Times New Roman" w:cs="Times New Roman"/>
          <w:sz w:val="30"/>
          <w:szCs w:val="30"/>
        </w:rPr>
        <w:t xml:space="preserve"> в сведения, </w:t>
      </w:r>
      <w:r w:rsidR="00F470DA" w:rsidRPr="00CA23D0">
        <w:rPr>
          <w:rFonts w:ascii="Times New Roman" w:hAnsi="Times New Roman" w:cs="Times New Roman"/>
          <w:sz w:val="30"/>
          <w:szCs w:val="30"/>
        </w:rPr>
        <w:t>заявленные</w:t>
      </w:r>
      <w:r w:rsidRPr="00CA23D0">
        <w:rPr>
          <w:rFonts w:ascii="Times New Roman" w:hAnsi="Times New Roman" w:cs="Times New Roman"/>
          <w:sz w:val="30"/>
          <w:szCs w:val="30"/>
        </w:rPr>
        <w:t xml:space="preserve"> в декларации на товары, утвержденного Решением Коллегии Евразийской экономической комиссии от 10 декабря 2013 г. № 289 «О внесении изменений </w:t>
      </w:r>
      <w:r w:rsidR="00F470DA" w:rsidRPr="00CA23D0">
        <w:rPr>
          <w:rFonts w:ascii="Times New Roman" w:hAnsi="Times New Roman" w:cs="Times New Roman"/>
          <w:sz w:val="30"/>
          <w:szCs w:val="30"/>
        </w:rPr>
        <w:t xml:space="preserve">(дополнений) в сведения, заявленные </w:t>
      </w:r>
      <w:r w:rsidRPr="00CA23D0">
        <w:rPr>
          <w:rFonts w:ascii="Times New Roman" w:hAnsi="Times New Roman" w:cs="Times New Roman"/>
          <w:sz w:val="30"/>
          <w:szCs w:val="30"/>
        </w:rPr>
        <w:t xml:space="preserve">в декларации </w:t>
      </w:r>
      <w:r w:rsidR="00793305">
        <w:rPr>
          <w:rFonts w:ascii="Times New Roman" w:hAnsi="Times New Roman" w:cs="Times New Roman"/>
          <w:sz w:val="30"/>
          <w:szCs w:val="30"/>
        </w:rPr>
        <w:br/>
      </w:r>
      <w:r w:rsidRPr="00CA23D0">
        <w:rPr>
          <w:rFonts w:ascii="Times New Roman" w:hAnsi="Times New Roman" w:cs="Times New Roman"/>
          <w:sz w:val="30"/>
          <w:szCs w:val="30"/>
        </w:rPr>
        <w:t>на товары, и признании утратившими силу некоторых решений Комиссии Таможенного союза и Коллегии Евразийской экономической комиссии»</w:t>
      </w:r>
      <w:r w:rsidR="00F470DA" w:rsidRPr="00CA23D0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CA23D0">
        <w:rPr>
          <w:rFonts w:ascii="Times New Roman" w:hAnsi="Times New Roman" w:cs="Times New Roman"/>
          <w:sz w:val="30"/>
          <w:szCs w:val="30"/>
        </w:rPr>
        <w:t xml:space="preserve">пункт 2 изменений, предусмотренных приложением к </w:t>
      </w:r>
      <w:r w:rsidR="00F470DA" w:rsidRPr="00CA23D0">
        <w:rPr>
          <w:rFonts w:ascii="Times New Roman" w:hAnsi="Times New Roman" w:cs="Times New Roman"/>
          <w:sz w:val="30"/>
          <w:szCs w:val="30"/>
        </w:rPr>
        <w:t xml:space="preserve">указанному </w:t>
      </w:r>
      <w:r w:rsidRPr="00CA23D0">
        <w:rPr>
          <w:rFonts w:ascii="Times New Roman" w:hAnsi="Times New Roman" w:cs="Times New Roman"/>
          <w:sz w:val="30"/>
          <w:szCs w:val="30"/>
        </w:rPr>
        <w:t>Решению;</w:t>
      </w:r>
    </w:p>
    <w:p w:rsidR="00481A28" w:rsidRPr="00CA23D0" w:rsidRDefault="00481A28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 xml:space="preserve">подпункты «б» и «в» пункта 9 изменений, предусмотренных приложением к Решению Коллегии Евразийской экономической комиссии от 27 апреля 2015 г. № 38 «О внесении изменений </w:t>
      </w:r>
      <w:r w:rsidR="00907A28" w:rsidRPr="00CA23D0">
        <w:rPr>
          <w:rFonts w:ascii="Times New Roman" w:hAnsi="Times New Roman" w:cs="Times New Roman"/>
          <w:sz w:val="30"/>
          <w:szCs w:val="30"/>
        </w:rPr>
        <w:br/>
      </w:r>
      <w:r w:rsidRPr="00CA23D0">
        <w:rPr>
          <w:rFonts w:ascii="Times New Roman" w:hAnsi="Times New Roman" w:cs="Times New Roman"/>
          <w:sz w:val="30"/>
          <w:szCs w:val="30"/>
        </w:rPr>
        <w:t>в некоторые решения Комиссии Таможенного союза и Коллегии Евразийской экономической комиссии»;</w:t>
      </w:r>
    </w:p>
    <w:p w:rsidR="00481A28" w:rsidRPr="00CA23D0" w:rsidRDefault="00481A28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 xml:space="preserve">пункт 2 изменений, предусмотренных приложением к Решению Коллегии Евразийской экономической комиссии от 3 ноября 2015 г. </w:t>
      </w:r>
      <w:r w:rsidR="00907A28" w:rsidRPr="00CA23D0">
        <w:rPr>
          <w:rFonts w:ascii="Times New Roman" w:hAnsi="Times New Roman" w:cs="Times New Roman"/>
          <w:sz w:val="30"/>
          <w:szCs w:val="30"/>
        </w:rPr>
        <w:br/>
      </w:r>
      <w:r w:rsidRPr="00CA23D0">
        <w:rPr>
          <w:rFonts w:ascii="Times New Roman" w:hAnsi="Times New Roman" w:cs="Times New Roman"/>
          <w:sz w:val="30"/>
          <w:szCs w:val="30"/>
        </w:rPr>
        <w:t xml:space="preserve">№ 139 «О внесении изменений в некоторые Решения Комиссии Таможенного союза». </w:t>
      </w:r>
    </w:p>
    <w:p w:rsidR="00481A28" w:rsidRPr="00CA23D0" w:rsidRDefault="00225AB6" w:rsidP="005C4E0B">
      <w:pPr>
        <w:tabs>
          <w:tab w:val="left" w:pos="3960"/>
          <w:tab w:val="left" w:pos="69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 w:rsidRPr="00CA23D0">
        <w:rPr>
          <w:rFonts w:ascii="Times New Roman" w:hAnsi="Times New Roman" w:cs="Times New Roman"/>
          <w:sz w:val="30"/>
          <w:szCs w:val="30"/>
        </w:rPr>
        <w:t>5</w:t>
      </w:r>
      <w:r w:rsidR="00481A28" w:rsidRPr="00CA23D0">
        <w:rPr>
          <w:rFonts w:ascii="Times New Roman" w:hAnsi="Times New Roman" w:cs="Times New Roman"/>
          <w:sz w:val="30"/>
          <w:szCs w:val="30"/>
        </w:rPr>
        <w:t xml:space="preserve">. Настоящее Решение вступает в силу по истечении </w:t>
      </w:r>
      <w:r w:rsidR="00481A28" w:rsidRPr="00CA23D0">
        <w:rPr>
          <w:rFonts w:ascii="Times New Roman" w:hAnsi="Times New Roman" w:cs="Times New Roman"/>
          <w:sz w:val="30"/>
          <w:szCs w:val="30"/>
        </w:rPr>
        <w:br/>
        <w:t>30 календарных дней с даты его официаль</w:t>
      </w:r>
      <w:r w:rsidR="00481A28" w:rsidRPr="00CA23D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опубликования.</w:t>
      </w:r>
    </w:p>
    <w:p w:rsidR="00430135" w:rsidRPr="00D90F67" w:rsidRDefault="00430135" w:rsidP="005C4E0B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8371A5" w:rsidRDefault="008371A5" w:rsidP="005C4E0B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tr w:rsidR="008371A5" w:rsidRPr="001748E5" w:rsidTr="00896D79">
        <w:tc>
          <w:tcPr>
            <w:tcW w:w="5196" w:type="dxa"/>
            <w:hideMark/>
          </w:tcPr>
          <w:p w:rsidR="008371A5" w:rsidRPr="001748E5" w:rsidRDefault="008371A5" w:rsidP="005C4E0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1748E5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Председатель Коллегии</w:t>
            </w:r>
          </w:p>
          <w:p w:rsidR="008371A5" w:rsidRPr="001748E5" w:rsidRDefault="008371A5" w:rsidP="005C4E0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1748E5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4374" w:type="dxa"/>
          </w:tcPr>
          <w:p w:rsidR="008371A5" w:rsidRPr="001748E5" w:rsidRDefault="008371A5" w:rsidP="005C4E0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</w:p>
          <w:p w:rsidR="008371A5" w:rsidRPr="001748E5" w:rsidRDefault="008371A5" w:rsidP="005C4E0B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Т. Саркисян</w:t>
            </w:r>
          </w:p>
        </w:tc>
      </w:tr>
    </w:tbl>
    <w:p w:rsidR="008371A5" w:rsidRDefault="008371A5" w:rsidP="00445B05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95F82" w:rsidRDefault="00695F82" w:rsidP="00445B05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695F82" w:rsidSect="00373125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64" w:rsidRDefault="000D0B64" w:rsidP="00CD7AC7">
      <w:pPr>
        <w:spacing w:after="0" w:line="240" w:lineRule="auto"/>
      </w:pPr>
      <w:r>
        <w:separator/>
      </w:r>
    </w:p>
  </w:endnote>
  <w:endnote w:type="continuationSeparator" w:id="1">
    <w:p w:rsidR="000D0B64" w:rsidRDefault="000D0B64" w:rsidP="00CD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64" w:rsidRDefault="000D0B64" w:rsidP="00CD7AC7">
      <w:pPr>
        <w:spacing w:after="0" w:line="240" w:lineRule="auto"/>
      </w:pPr>
      <w:r>
        <w:separator/>
      </w:r>
    </w:p>
  </w:footnote>
  <w:footnote w:type="continuationSeparator" w:id="1">
    <w:p w:rsidR="000D0B64" w:rsidRDefault="000D0B64" w:rsidP="00CD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627835"/>
    </w:sdtPr>
    <w:sdtEndPr>
      <w:rPr>
        <w:rFonts w:ascii="Times New Roman" w:hAnsi="Times New Roman" w:cs="Times New Roman"/>
        <w:sz w:val="30"/>
        <w:szCs w:val="30"/>
      </w:rPr>
    </w:sdtEndPr>
    <w:sdtContent>
      <w:p w:rsidR="00CD7AC7" w:rsidRPr="00907A28" w:rsidRDefault="00CD14E5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07A2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D7AC7" w:rsidRPr="00907A2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07A2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22789">
          <w:rPr>
            <w:rFonts w:ascii="Times New Roman" w:hAnsi="Times New Roman" w:cs="Times New Roman"/>
            <w:noProof/>
            <w:sz w:val="30"/>
            <w:szCs w:val="30"/>
          </w:rPr>
          <w:t>1</w:t>
        </w:r>
        <w:r w:rsidRPr="00907A2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D7AC7" w:rsidRPr="00CD7AC7" w:rsidRDefault="00C617BD">
    <w:pPr>
      <w:pStyle w:val="a8"/>
      <w:rPr>
        <w:rFonts w:ascii="Times New Roman" w:hAnsi="Times New Roman" w:cs="Times New Roman"/>
        <w:sz w:val="28"/>
        <w:szCs w:val="28"/>
      </w:rPr>
    </w:pPr>
    <w:r w:rsidRPr="00C617BD">
      <w:rPr>
        <w:rFonts w:ascii="Times New Roman" w:hAnsi="Times New Roman" w:cs="Times New Roman"/>
        <w:noProof/>
        <w:color w:val="0C0000"/>
        <w:sz w:val="14"/>
        <w:szCs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31.5pt;width:30pt;height:631.4pt;z-index:251659264;mso-wrap-style:tight" stroked="f">
          <v:textbox style="layout-flow:vertical;mso-layout-flow-alt:bottom-to-top">
            <w:txbxContent>
              <w:p w:rsidR="00C617BD" w:rsidRDefault="00C617BD"/>
            </w:txbxContent>
          </v:textbox>
        </v:shape>
      </w:pict>
    </w:r>
    <w:r w:rsidR="00CD14E5" w:rsidRPr="00C617BD">
      <w:rPr>
        <w:rFonts w:ascii="Times New Roman" w:hAnsi="Times New Roman" w:cs="Times New Roman"/>
        <w:noProof/>
        <w:color w:val="0C0000"/>
        <w:sz w:val="14"/>
        <w:szCs w:val="28"/>
        <w:lang w:eastAsia="ru-RU"/>
      </w:rPr>
      <w:pict>
        <v:shape id="_x0000_s2049" type="#_x0000_t202" style="position:absolute;margin-left:480.25pt;margin-top:31.5pt;width:30pt;height:631.4pt;z-index:251658240;mso-wrap-style:tight" stroked="f">
          <v:textbox style="layout-flow:vertical;mso-layout-flow-alt:bottom-to-top">
            <w:txbxContent>
              <w:p w:rsidR="0027487D" w:rsidRPr="0027487D" w:rsidRDefault="0027487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18.05.2018 ЕСЭДО ГО (версия 7.22.1)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2359"/>
    <w:rsid w:val="00013009"/>
    <w:rsid w:val="00013452"/>
    <w:rsid w:val="000242FD"/>
    <w:rsid w:val="00032C76"/>
    <w:rsid w:val="00043722"/>
    <w:rsid w:val="00044EC3"/>
    <w:rsid w:val="00045D27"/>
    <w:rsid w:val="000460BE"/>
    <w:rsid w:val="00060662"/>
    <w:rsid w:val="000672DA"/>
    <w:rsid w:val="00073903"/>
    <w:rsid w:val="00085883"/>
    <w:rsid w:val="0009198D"/>
    <w:rsid w:val="00092661"/>
    <w:rsid w:val="0009414B"/>
    <w:rsid w:val="000A5535"/>
    <w:rsid w:val="000B2BF9"/>
    <w:rsid w:val="000B3107"/>
    <w:rsid w:val="000B6F47"/>
    <w:rsid w:val="000C04E0"/>
    <w:rsid w:val="000C0C7E"/>
    <w:rsid w:val="000D0B64"/>
    <w:rsid w:val="000D2DAA"/>
    <w:rsid w:val="000E0A08"/>
    <w:rsid w:val="000E5366"/>
    <w:rsid w:val="001164F3"/>
    <w:rsid w:val="00145683"/>
    <w:rsid w:val="00160D36"/>
    <w:rsid w:val="00162256"/>
    <w:rsid w:val="00172F95"/>
    <w:rsid w:val="001768A6"/>
    <w:rsid w:val="001801D4"/>
    <w:rsid w:val="00192DD8"/>
    <w:rsid w:val="00193431"/>
    <w:rsid w:val="001A5C84"/>
    <w:rsid w:val="001D6D8A"/>
    <w:rsid w:val="001E1C3A"/>
    <w:rsid w:val="00225AB6"/>
    <w:rsid w:val="002410C3"/>
    <w:rsid w:val="0027487D"/>
    <w:rsid w:val="002875A9"/>
    <w:rsid w:val="0029079B"/>
    <w:rsid w:val="00293035"/>
    <w:rsid w:val="00295EA4"/>
    <w:rsid w:val="002A261A"/>
    <w:rsid w:val="002A599F"/>
    <w:rsid w:val="002B0BCE"/>
    <w:rsid w:val="002C10F4"/>
    <w:rsid w:val="002D3878"/>
    <w:rsid w:val="002E13E9"/>
    <w:rsid w:val="002E279F"/>
    <w:rsid w:val="002E339F"/>
    <w:rsid w:val="002E3796"/>
    <w:rsid w:val="002E6EDC"/>
    <w:rsid w:val="002F267C"/>
    <w:rsid w:val="0030273E"/>
    <w:rsid w:val="00315A2E"/>
    <w:rsid w:val="00323529"/>
    <w:rsid w:val="00323905"/>
    <w:rsid w:val="003259DE"/>
    <w:rsid w:val="003334E6"/>
    <w:rsid w:val="00340E6C"/>
    <w:rsid w:val="0034312D"/>
    <w:rsid w:val="00344EFB"/>
    <w:rsid w:val="00345491"/>
    <w:rsid w:val="003456DB"/>
    <w:rsid w:val="00351365"/>
    <w:rsid w:val="00354490"/>
    <w:rsid w:val="00364B5D"/>
    <w:rsid w:val="003665DB"/>
    <w:rsid w:val="00373125"/>
    <w:rsid w:val="003A26B1"/>
    <w:rsid w:val="003B4804"/>
    <w:rsid w:val="003C3EAA"/>
    <w:rsid w:val="003C5622"/>
    <w:rsid w:val="003D40A6"/>
    <w:rsid w:val="003D6FFE"/>
    <w:rsid w:val="003E6DDC"/>
    <w:rsid w:val="003F1A7B"/>
    <w:rsid w:val="003F378B"/>
    <w:rsid w:val="003F75AB"/>
    <w:rsid w:val="00403D25"/>
    <w:rsid w:val="004102A3"/>
    <w:rsid w:val="004200F9"/>
    <w:rsid w:val="00422789"/>
    <w:rsid w:val="00430135"/>
    <w:rsid w:val="00432AEA"/>
    <w:rsid w:val="0044233D"/>
    <w:rsid w:val="004456B6"/>
    <w:rsid w:val="00445B05"/>
    <w:rsid w:val="00447155"/>
    <w:rsid w:val="00447290"/>
    <w:rsid w:val="0045147B"/>
    <w:rsid w:val="0045694B"/>
    <w:rsid w:val="00464B69"/>
    <w:rsid w:val="00476B8E"/>
    <w:rsid w:val="00481A28"/>
    <w:rsid w:val="00494A80"/>
    <w:rsid w:val="004A16FF"/>
    <w:rsid w:val="004A28D3"/>
    <w:rsid w:val="004B14A4"/>
    <w:rsid w:val="004B415C"/>
    <w:rsid w:val="004C56DF"/>
    <w:rsid w:val="004D3777"/>
    <w:rsid w:val="004D6B9E"/>
    <w:rsid w:val="004E49A1"/>
    <w:rsid w:val="004E4BE3"/>
    <w:rsid w:val="004E75FE"/>
    <w:rsid w:val="004F19A7"/>
    <w:rsid w:val="004F5A51"/>
    <w:rsid w:val="0050002B"/>
    <w:rsid w:val="005024A7"/>
    <w:rsid w:val="0050520D"/>
    <w:rsid w:val="00517606"/>
    <w:rsid w:val="0052217E"/>
    <w:rsid w:val="005232E3"/>
    <w:rsid w:val="00533752"/>
    <w:rsid w:val="0054037F"/>
    <w:rsid w:val="005415C6"/>
    <w:rsid w:val="005421D3"/>
    <w:rsid w:val="00544411"/>
    <w:rsid w:val="0055495C"/>
    <w:rsid w:val="00560D57"/>
    <w:rsid w:val="0056570B"/>
    <w:rsid w:val="00570626"/>
    <w:rsid w:val="00581545"/>
    <w:rsid w:val="00583F9C"/>
    <w:rsid w:val="005B1E11"/>
    <w:rsid w:val="005C4E0B"/>
    <w:rsid w:val="005C5095"/>
    <w:rsid w:val="005D1A3D"/>
    <w:rsid w:val="005D5A08"/>
    <w:rsid w:val="005E4E6D"/>
    <w:rsid w:val="005F0B74"/>
    <w:rsid w:val="005F1C8D"/>
    <w:rsid w:val="005F779C"/>
    <w:rsid w:val="006164D0"/>
    <w:rsid w:val="00625963"/>
    <w:rsid w:val="00626422"/>
    <w:rsid w:val="00631BC4"/>
    <w:rsid w:val="006428F4"/>
    <w:rsid w:val="00646AA1"/>
    <w:rsid w:val="00652BA4"/>
    <w:rsid w:val="006535A4"/>
    <w:rsid w:val="00654846"/>
    <w:rsid w:val="00673603"/>
    <w:rsid w:val="006823A8"/>
    <w:rsid w:val="00687567"/>
    <w:rsid w:val="006959A6"/>
    <w:rsid w:val="00695F82"/>
    <w:rsid w:val="006A03B5"/>
    <w:rsid w:val="006A152B"/>
    <w:rsid w:val="006D308E"/>
    <w:rsid w:val="006D3593"/>
    <w:rsid w:val="006E0786"/>
    <w:rsid w:val="006F3CBE"/>
    <w:rsid w:val="006F638F"/>
    <w:rsid w:val="00702D33"/>
    <w:rsid w:val="00710C47"/>
    <w:rsid w:val="007136FE"/>
    <w:rsid w:val="00713D90"/>
    <w:rsid w:val="00716A4E"/>
    <w:rsid w:val="00717759"/>
    <w:rsid w:val="00720EBE"/>
    <w:rsid w:val="007321CC"/>
    <w:rsid w:val="0073403C"/>
    <w:rsid w:val="007524A8"/>
    <w:rsid w:val="007573C5"/>
    <w:rsid w:val="0076799E"/>
    <w:rsid w:val="0078214E"/>
    <w:rsid w:val="007821B8"/>
    <w:rsid w:val="00793305"/>
    <w:rsid w:val="007952AA"/>
    <w:rsid w:val="00797E7A"/>
    <w:rsid w:val="007A758F"/>
    <w:rsid w:val="007B20FC"/>
    <w:rsid w:val="007B31F0"/>
    <w:rsid w:val="007B6345"/>
    <w:rsid w:val="007D5FD6"/>
    <w:rsid w:val="00821FAD"/>
    <w:rsid w:val="00825FD1"/>
    <w:rsid w:val="0083231D"/>
    <w:rsid w:val="00835BDD"/>
    <w:rsid w:val="008371A5"/>
    <w:rsid w:val="008376F4"/>
    <w:rsid w:val="008406DE"/>
    <w:rsid w:val="00842AA1"/>
    <w:rsid w:val="008613F3"/>
    <w:rsid w:val="008813CB"/>
    <w:rsid w:val="00885092"/>
    <w:rsid w:val="00891B4C"/>
    <w:rsid w:val="008B1913"/>
    <w:rsid w:val="008C2C8A"/>
    <w:rsid w:val="008C3E77"/>
    <w:rsid w:val="008D17A6"/>
    <w:rsid w:val="008E0C2F"/>
    <w:rsid w:val="008E2DB9"/>
    <w:rsid w:val="008F0ADD"/>
    <w:rsid w:val="0090265E"/>
    <w:rsid w:val="0090739A"/>
    <w:rsid w:val="00907A28"/>
    <w:rsid w:val="00910C8C"/>
    <w:rsid w:val="0091117E"/>
    <w:rsid w:val="00911E85"/>
    <w:rsid w:val="00914B5F"/>
    <w:rsid w:val="0092771D"/>
    <w:rsid w:val="00937BB3"/>
    <w:rsid w:val="00955AD6"/>
    <w:rsid w:val="009577EB"/>
    <w:rsid w:val="009611F6"/>
    <w:rsid w:val="00972359"/>
    <w:rsid w:val="009B2F40"/>
    <w:rsid w:val="009B4CA9"/>
    <w:rsid w:val="009C5CE2"/>
    <w:rsid w:val="009D5D05"/>
    <w:rsid w:val="009E1910"/>
    <w:rsid w:val="009E59A7"/>
    <w:rsid w:val="00A01D45"/>
    <w:rsid w:val="00A217FA"/>
    <w:rsid w:val="00A254F5"/>
    <w:rsid w:val="00A45C43"/>
    <w:rsid w:val="00A50F9B"/>
    <w:rsid w:val="00A615EA"/>
    <w:rsid w:val="00A716E8"/>
    <w:rsid w:val="00A8177F"/>
    <w:rsid w:val="00A85C22"/>
    <w:rsid w:val="00A901CD"/>
    <w:rsid w:val="00A92AEC"/>
    <w:rsid w:val="00A942A7"/>
    <w:rsid w:val="00A9529F"/>
    <w:rsid w:val="00A952DB"/>
    <w:rsid w:val="00A97641"/>
    <w:rsid w:val="00AA5BCE"/>
    <w:rsid w:val="00AB400E"/>
    <w:rsid w:val="00AC0680"/>
    <w:rsid w:val="00AD4F73"/>
    <w:rsid w:val="00AD539F"/>
    <w:rsid w:val="00AE1EA7"/>
    <w:rsid w:val="00AF362D"/>
    <w:rsid w:val="00B061B8"/>
    <w:rsid w:val="00B06BB7"/>
    <w:rsid w:val="00B17270"/>
    <w:rsid w:val="00B32916"/>
    <w:rsid w:val="00B36AA9"/>
    <w:rsid w:val="00B4299F"/>
    <w:rsid w:val="00B62A9E"/>
    <w:rsid w:val="00B71AC5"/>
    <w:rsid w:val="00B75490"/>
    <w:rsid w:val="00B8440D"/>
    <w:rsid w:val="00B90DCF"/>
    <w:rsid w:val="00B926B0"/>
    <w:rsid w:val="00BA0557"/>
    <w:rsid w:val="00BA0D38"/>
    <w:rsid w:val="00BB3E62"/>
    <w:rsid w:val="00BC081C"/>
    <w:rsid w:val="00BC51A4"/>
    <w:rsid w:val="00BD21F5"/>
    <w:rsid w:val="00BD272F"/>
    <w:rsid w:val="00BE2843"/>
    <w:rsid w:val="00C14489"/>
    <w:rsid w:val="00C24962"/>
    <w:rsid w:val="00C3041D"/>
    <w:rsid w:val="00C36131"/>
    <w:rsid w:val="00C4407E"/>
    <w:rsid w:val="00C52D94"/>
    <w:rsid w:val="00C55002"/>
    <w:rsid w:val="00C617BD"/>
    <w:rsid w:val="00C67E60"/>
    <w:rsid w:val="00C903CB"/>
    <w:rsid w:val="00C90E47"/>
    <w:rsid w:val="00C94F1A"/>
    <w:rsid w:val="00CA23D0"/>
    <w:rsid w:val="00CA5C22"/>
    <w:rsid w:val="00CB5A03"/>
    <w:rsid w:val="00CC3B11"/>
    <w:rsid w:val="00CD14E5"/>
    <w:rsid w:val="00CD56E3"/>
    <w:rsid w:val="00CD6BC9"/>
    <w:rsid w:val="00CD7AC7"/>
    <w:rsid w:val="00CF165A"/>
    <w:rsid w:val="00CF3919"/>
    <w:rsid w:val="00D10189"/>
    <w:rsid w:val="00D1037D"/>
    <w:rsid w:val="00D178B5"/>
    <w:rsid w:val="00D21186"/>
    <w:rsid w:val="00D37FED"/>
    <w:rsid w:val="00D455FC"/>
    <w:rsid w:val="00D73B37"/>
    <w:rsid w:val="00D763B6"/>
    <w:rsid w:val="00D778D2"/>
    <w:rsid w:val="00D851BB"/>
    <w:rsid w:val="00D90F67"/>
    <w:rsid w:val="00D92E53"/>
    <w:rsid w:val="00DA085B"/>
    <w:rsid w:val="00DA360E"/>
    <w:rsid w:val="00DE3B0E"/>
    <w:rsid w:val="00DE7E63"/>
    <w:rsid w:val="00E031FB"/>
    <w:rsid w:val="00E0677B"/>
    <w:rsid w:val="00E10FE1"/>
    <w:rsid w:val="00E216D4"/>
    <w:rsid w:val="00E2358C"/>
    <w:rsid w:val="00E31BE5"/>
    <w:rsid w:val="00E5141D"/>
    <w:rsid w:val="00E74CC0"/>
    <w:rsid w:val="00E97372"/>
    <w:rsid w:val="00EB6B61"/>
    <w:rsid w:val="00EC5001"/>
    <w:rsid w:val="00EC679A"/>
    <w:rsid w:val="00ED7C44"/>
    <w:rsid w:val="00EE4CED"/>
    <w:rsid w:val="00EF6AE1"/>
    <w:rsid w:val="00F01AB3"/>
    <w:rsid w:val="00F01E05"/>
    <w:rsid w:val="00F20375"/>
    <w:rsid w:val="00F24FCD"/>
    <w:rsid w:val="00F253A8"/>
    <w:rsid w:val="00F30ED5"/>
    <w:rsid w:val="00F345A6"/>
    <w:rsid w:val="00F470DA"/>
    <w:rsid w:val="00F47D65"/>
    <w:rsid w:val="00F53087"/>
    <w:rsid w:val="00F538EA"/>
    <w:rsid w:val="00F612F9"/>
    <w:rsid w:val="00F65167"/>
    <w:rsid w:val="00F75453"/>
    <w:rsid w:val="00F80B42"/>
    <w:rsid w:val="00F861A4"/>
    <w:rsid w:val="00F87674"/>
    <w:rsid w:val="00FA0B50"/>
    <w:rsid w:val="00FA624C"/>
    <w:rsid w:val="00FA6463"/>
    <w:rsid w:val="00FB3A9E"/>
    <w:rsid w:val="00FB622C"/>
    <w:rsid w:val="00FB779C"/>
    <w:rsid w:val="00FC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C50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AC7"/>
  </w:style>
  <w:style w:type="paragraph" w:styleId="aa">
    <w:name w:val="footer"/>
    <w:basedOn w:val="a"/>
    <w:link w:val="ab"/>
    <w:uiPriority w:val="99"/>
    <w:unhideWhenUsed/>
    <w:rsid w:val="00CD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AC7"/>
  </w:style>
  <w:style w:type="paragraph" w:styleId="ac">
    <w:name w:val="List Paragraph"/>
    <w:basedOn w:val="a"/>
    <w:uiPriority w:val="34"/>
    <w:qFormat/>
    <w:rsid w:val="00032C76"/>
    <w:pPr>
      <w:ind w:left="720"/>
      <w:contextualSpacing/>
    </w:pPr>
  </w:style>
  <w:style w:type="character" w:customStyle="1" w:styleId="FontStyle23">
    <w:name w:val="Font Style23"/>
    <w:rsid w:val="00695F82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basedOn w:val="a0"/>
    <w:link w:val="1"/>
    <w:uiPriority w:val="99"/>
    <w:rsid w:val="004200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4200F9"/>
    <w:pPr>
      <w:shd w:val="clear" w:color="auto" w:fill="FFFFFF"/>
      <w:spacing w:after="222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6D3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C50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AC7"/>
  </w:style>
  <w:style w:type="paragraph" w:styleId="aa">
    <w:name w:val="footer"/>
    <w:basedOn w:val="a"/>
    <w:link w:val="ab"/>
    <w:uiPriority w:val="99"/>
    <w:unhideWhenUsed/>
    <w:rsid w:val="00CD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AC7"/>
  </w:style>
  <w:style w:type="paragraph" w:styleId="ac">
    <w:name w:val="List Paragraph"/>
    <w:basedOn w:val="a"/>
    <w:uiPriority w:val="34"/>
    <w:qFormat/>
    <w:rsid w:val="00032C76"/>
    <w:pPr>
      <w:ind w:left="720"/>
      <w:contextualSpacing/>
    </w:pPr>
  </w:style>
  <w:style w:type="character" w:customStyle="1" w:styleId="FontStyle23">
    <w:name w:val="Font Style23"/>
    <w:rsid w:val="00695F82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basedOn w:val="a0"/>
    <w:link w:val="1"/>
    <w:uiPriority w:val="99"/>
    <w:rsid w:val="004200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4200F9"/>
    <w:pPr>
      <w:shd w:val="clear" w:color="auto" w:fill="FFFFFF"/>
      <w:spacing w:after="222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6D3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CF74BE6CE9FAB44AF02F84B1B31A6EE1CE7FBAD5BD913482B54C37909C9143430D223AEC5F172799jDE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38BD543E129DD78BEE920299F75CDA28A0510E055E5D05F560C6B019D56E2D0CB926A8563A4M9TF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75E22E6DC66FAA4C278526C5948E3D12B5902B9B96A9F306412133B968EC270B37E9AB7C5Aq9F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75E22E6DC66FAA4C278526C5948E3D12B5902B9B96A9F306412133B968EC270B37E9A9705Dq9F1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D2F7-EEA4-4856-92DA-B082FC8E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skazbekova</cp:lastModifiedBy>
  <cp:revision>2</cp:revision>
  <cp:lastPrinted>2018-03-21T11:35:00Z</cp:lastPrinted>
  <dcterms:created xsi:type="dcterms:W3CDTF">2018-10-30T10:02:00Z</dcterms:created>
  <dcterms:modified xsi:type="dcterms:W3CDTF">2018-10-30T10:02:00Z</dcterms:modified>
</cp:coreProperties>
</file>