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F0" w:rsidRPr="00E15A7A" w:rsidRDefault="003F52F0" w:rsidP="00E15A7A">
      <w:pPr>
        <w:spacing w:line="271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5A7A">
        <w:rPr>
          <w:rFonts w:ascii="Arial" w:hAnsi="Arial" w:cs="Arial"/>
          <w:b/>
          <w:sz w:val="24"/>
          <w:szCs w:val="24"/>
        </w:rPr>
        <w:t xml:space="preserve">Аналитическая справка по результатам внутреннего анализа коррупционных рисков в деятельности Департамента государственных доходов по </w:t>
      </w:r>
      <w:proofErr w:type="spellStart"/>
      <w:r w:rsidRPr="00E15A7A">
        <w:rPr>
          <w:rFonts w:ascii="Arial" w:hAnsi="Arial" w:cs="Arial"/>
          <w:b/>
          <w:sz w:val="24"/>
          <w:szCs w:val="24"/>
        </w:rPr>
        <w:t>Кызылординской</w:t>
      </w:r>
      <w:proofErr w:type="spellEnd"/>
      <w:r w:rsidRPr="00E15A7A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3F52F0" w:rsidRPr="00E15A7A" w:rsidRDefault="003F52F0" w:rsidP="00E15A7A">
      <w:pPr>
        <w:spacing w:line="271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F52F0" w:rsidRPr="00E15A7A" w:rsidRDefault="003F52F0" w:rsidP="00E15A7A">
      <w:pPr>
        <w:spacing w:line="271" w:lineRule="auto"/>
        <w:contextualSpacing/>
        <w:rPr>
          <w:rFonts w:ascii="Arial" w:hAnsi="Arial" w:cs="Arial"/>
          <w:sz w:val="24"/>
          <w:szCs w:val="24"/>
        </w:rPr>
      </w:pPr>
      <w:r w:rsidRPr="00E15A7A">
        <w:rPr>
          <w:rFonts w:ascii="Arial" w:hAnsi="Arial" w:cs="Arial"/>
          <w:sz w:val="24"/>
          <w:szCs w:val="24"/>
        </w:rPr>
        <w:t xml:space="preserve">31наурыз 2022 год </w:t>
      </w:r>
      <w:r w:rsidR="00E15A7A">
        <w:rPr>
          <w:rFonts w:ascii="Arial" w:hAnsi="Arial" w:cs="Arial"/>
          <w:sz w:val="24"/>
          <w:szCs w:val="24"/>
          <w:lang w:val="kk-KZ"/>
        </w:rPr>
        <w:tab/>
      </w:r>
      <w:r w:rsidR="00E15A7A">
        <w:rPr>
          <w:rFonts w:ascii="Arial" w:hAnsi="Arial" w:cs="Arial"/>
          <w:sz w:val="24"/>
          <w:szCs w:val="24"/>
          <w:lang w:val="kk-KZ"/>
        </w:rPr>
        <w:tab/>
      </w:r>
      <w:r w:rsidR="00E15A7A">
        <w:rPr>
          <w:rFonts w:ascii="Arial" w:hAnsi="Arial" w:cs="Arial"/>
          <w:sz w:val="24"/>
          <w:szCs w:val="24"/>
          <w:lang w:val="kk-KZ"/>
        </w:rPr>
        <w:tab/>
      </w:r>
      <w:r w:rsidR="00E15A7A">
        <w:rPr>
          <w:rFonts w:ascii="Arial" w:hAnsi="Arial" w:cs="Arial"/>
          <w:sz w:val="24"/>
          <w:szCs w:val="24"/>
          <w:lang w:val="kk-KZ"/>
        </w:rPr>
        <w:tab/>
      </w:r>
      <w:r w:rsidR="00E15A7A">
        <w:rPr>
          <w:rFonts w:ascii="Arial" w:hAnsi="Arial" w:cs="Arial"/>
          <w:sz w:val="24"/>
          <w:szCs w:val="24"/>
          <w:lang w:val="kk-KZ"/>
        </w:rPr>
        <w:tab/>
      </w:r>
      <w:r w:rsidR="00E15A7A">
        <w:rPr>
          <w:rFonts w:ascii="Arial" w:hAnsi="Arial" w:cs="Arial"/>
          <w:sz w:val="24"/>
          <w:szCs w:val="24"/>
          <w:lang w:val="kk-KZ"/>
        </w:rPr>
        <w:tab/>
      </w:r>
      <w:r w:rsidR="00E15A7A">
        <w:rPr>
          <w:rFonts w:ascii="Arial" w:hAnsi="Arial" w:cs="Arial"/>
          <w:sz w:val="24"/>
          <w:szCs w:val="24"/>
          <w:lang w:val="kk-KZ"/>
        </w:rPr>
        <w:tab/>
      </w:r>
      <w:r w:rsidR="00E15A7A">
        <w:rPr>
          <w:rFonts w:ascii="Arial" w:hAnsi="Arial" w:cs="Arial"/>
          <w:sz w:val="24"/>
          <w:szCs w:val="24"/>
          <w:lang w:val="kk-KZ"/>
        </w:rPr>
        <w:tab/>
      </w:r>
      <w:proofErr w:type="gramStart"/>
      <w:r w:rsidRPr="00E15A7A">
        <w:rPr>
          <w:rFonts w:ascii="Arial" w:hAnsi="Arial" w:cs="Arial"/>
          <w:sz w:val="24"/>
          <w:szCs w:val="24"/>
        </w:rPr>
        <w:t>г</w:t>
      </w:r>
      <w:proofErr w:type="gramEnd"/>
      <w:r w:rsidRPr="00E15A7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15A7A">
        <w:rPr>
          <w:rFonts w:ascii="Arial" w:hAnsi="Arial" w:cs="Arial"/>
          <w:sz w:val="24"/>
          <w:szCs w:val="24"/>
        </w:rPr>
        <w:t>Кызылорда</w:t>
      </w:r>
      <w:proofErr w:type="spellEnd"/>
    </w:p>
    <w:p w:rsidR="003F52F0" w:rsidRPr="00E15A7A" w:rsidRDefault="003F52F0" w:rsidP="00E15A7A">
      <w:pPr>
        <w:spacing w:line="271" w:lineRule="auto"/>
        <w:contextualSpacing/>
        <w:rPr>
          <w:rFonts w:ascii="Arial" w:hAnsi="Arial" w:cs="Arial"/>
          <w:sz w:val="24"/>
          <w:szCs w:val="24"/>
        </w:rPr>
      </w:pPr>
    </w:p>
    <w:p w:rsidR="003F52F0" w:rsidRPr="00E15A7A" w:rsidRDefault="003F52F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5A7A">
        <w:rPr>
          <w:rFonts w:ascii="Arial" w:hAnsi="Arial" w:cs="Arial"/>
          <w:sz w:val="24"/>
          <w:szCs w:val="24"/>
        </w:rPr>
        <w:t>I. ВВОДНАЯ ЧАСТЬ</w:t>
      </w:r>
    </w:p>
    <w:p w:rsidR="003F52F0" w:rsidRPr="00E15A7A" w:rsidRDefault="003F52F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5A7A">
        <w:rPr>
          <w:rFonts w:ascii="Arial" w:hAnsi="Arial" w:cs="Arial"/>
          <w:sz w:val="24"/>
          <w:szCs w:val="24"/>
        </w:rPr>
        <w:t xml:space="preserve">Выявление коррупционных рисков в деятельности подразделений таможенного администрирования «рабочей группой по проведению внутреннего анализа коррупционных рисков», утвержденной приказом Департамента государственных доходов по </w:t>
      </w:r>
      <w:proofErr w:type="spellStart"/>
      <w:r w:rsidRPr="00E15A7A">
        <w:rPr>
          <w:rFonts w:ascii="Arial" w:hAnsi="Arial" w:cs="Arial"/>
          <w:sz w:val="24"/>
          <w:szCs w:val="24"/>
        </w:rPr>
        <w:t>Кызылординской</w:t>
      </w:r>
      <w:proofErr w:type="spellEnd"/>
      <w:r w:rsidRPr="00E15A7A">
        <w:rPr>
          <w:rFonts w:ascii="Arial" w:hAnsi="Arial" w:cs="Arial"/>
          <w:sz w:val="24"/>
          <w:szCs w:val="24"/>
        </w:rPr>
        <w:t xml:space="preserve"> области (далее – Департамент) от 18.01.2022 года №10-п.</w:t>
      </w:r>
    </w:p>
    <w:p w:rsidR="008846FD" w:rsidRPr="00E15A7A" w:rsidRDefault="003F52F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</w:rPr>
        <w:t xml:space="preserve">Руководитель рабочей группы: заместитель руководителя департамента-К. </w:t>
      </w:r>
      <w:proofErr w:type="spellStart"/>
      <w:r w:rsidRPr="00E15A7A">
        <w:rPr>
          <w:rFonts w:ascii="Arial" w:hAnsi="Arial" w:cs="Arial"/>
          <w:sz w:val="24"/>
          <w:szCs w:val="24"/>
        </w:rPr>
        <w:t>Бекшин</w:t>
      </w:r>
      <w:proofErr w:type="spellEnd"/>
      <w:r w:rsidRPr="00E15A7A">
        <w:rPr>
          <w:rFonts w:ascii="Arial" w:hAnsi="Arial" w:cs="Arial"/>
          <w:sz w:val="24"/>
          <w:szCs w:val="24"/>
        </w:rPr>
        <w:t xml:space="preserve">, члены рабочей группы: руководитель таможенного поста» </w:t>
      </w:r>
      <w:proofErr w:type="spellStart"/>
      <w:r w:rsidRPr="00E15A7A">
        <w:rPr>
          <w:rFonts w:ascii="Arial" w:hAnsi="Arial" w:cs="Arial"/>
          <w:sz w:val="24"/>
          <w:szCs w:val="24"/>
        </w:rPr>
        <w:t>Кызылорда</w:t>
      </w:r>
      <w:proofErr w:type="spellEnd"/>
      <w:r w:rsidRPr="00E15A7A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E15A7A">
        <w:rPr>
          <w:rFonts w:ascii="Arial" w:hAnsi="Arial" w:cs="Arial"/>
          <w:sz w:val="24"/>
          <w:szCs w:val="24"/>
        </w:rPr>
        <w:t>КРО " – М.</w:t>
      </w:r>
      <w:proofErr w:type="gramEnd"/>
      <w:r w:rsidRPr="00E15A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A7A">
        <w:rPr>
          <w:rFonts w:ascii="Arial" w:hAnsi="Arial" w:cs="Arial"/>
          <w:sz w:val="24"/>
          <w:szCs w:val="24"/>
        </w:rPr>
        <w:t>Кожанбай</w:t>
      </w:r>
      <w:proofErr w:type="spellEnd"/>
      <w:r w:rsidRPr="00E15A7A">
        <w:rPr>
          <w:rFonts w:ascii="Arial" w:hAnsi="Arial" w:cs="Arial"/>
          <w:sz w:val="24"/>
          <w:szCs w:val="24"/>
        </w:rPr>
        <w:t xml:space="preserve">, руководитель юридического управления – </w:t>
      </w:r>
      <w:proofErr w:type="spellStart"/>
      <w:r w:rsidRPr="00E15A7A">
        <w:rPr>
          <w:rFonts w:ascii="Arial" w:hAnsi="Arial" w:cs="Arial"/>
          <w:sz w:val="24"/>
          <w:szCs w:val="24"/>
        </w:rPr>
        <w:t>Н.Шакизада</w:t>
      </w:r>
      <w:proofErr w:type="spellEnd"/>
      <w:r w:rsidRPr="00E15A7A">
        <w:rPr>
          <w:rFonts w:ascii="Arial" w:hAnsi="Arial" w:cs="Arial"/>
          <w:sz w:val="24"/>
          <w:szCs w:val="24"/>
        </w:rPr>
        <w:t xml:space="preserve">, руководитель управления крупных налогоплательщиков – К. </w:t>
      </w:r>
      <w:proofErr w:type="spellStart"/>
      <w:r w:rsidRPr="00E15A7A">
        <w:rPr>
          <w:rFonts w:ascii="Arial" w:hAnsi="Arial" w:cs="Arial"/>
          <w:sz w:val="24"/>
          <w:szCs w:val="24"/>
        </w:rPr>
        <w:t>Стамбекова</w:t>
      </w:r>
      <w:proofErr w:type="spellEnd"/>
      <w:r w:rsidRPr="00E15A7A">
        <w:rPr>
          <w:rFonts w:ascii="Arial" w:hAnsi="Arial" w:cs="Arial"/>
          <w:sz w:val="24"/>
          <w:szCs w:val="24"/>
        </w:rPr>
        <w:t xml:space="preserve">, руководитель управления человеческих ресурсов – р. </w:t>
      </w:r>
      <w:proofErr w:type="spellStart"/>
      <w:r w:rsidRPr="00E15A7A">
        <w:rPr>
          <w:rFonts w:ascii="Arial" w:hAnsi="Arial" w:cs="Arial"/>
          <w:sz w:val="24"/>
          <w:szCs w:val="24"/>
        </w:rPr>
        <w:t>Ануар</w:t>
      </w:r>
      <w:proofErr w:type="spellEnd"/>
      <w:r w:rsidRPr="00E15A7A">
        <w:rPr>
          <w:rFonts w:ascii="Arial" w:hAnsi="Arial" w:cs="Arial"/>
          <w:sz w:val="24"/>
          <w:szCs w:val="24"/>
        </w:rPr>
        <w:t>.</w:t>
      </w:r>
    </w:p>
    <w:p w:rsidR="003F52F0" w:rsidRPr="00E15A7A" w:rsidRDefault="003F52F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II. ОПИСАТЕЛЬНЫЙ РАЗДЕЛ:</w:t>
      </w:r>
    </w:p>
    <w:p w:rsidR="003F52F0" w:rsidRPr="00E15A7A" w:rsidRDefault="003F52F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1. реализация контрольных функций</w:t>
      </w:r>
    </w:p>
    <w:p w:rsidR="003F52F0" w:rsidRPr="00E15A7A" w:rsidRDefault="003F52F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1.1 наименование коррупционного риска: коррупционный риск незаконного возврата денег, внесенных на счет временного размещения денег таможенного органа в качестве обеспечения исполнения обязанности по уплате таможенных пошлин, налогов в случае не возникновения обязанности по уплате таможенных пошлин, налогов.</w:t>
      </w:r>
    </w:p>
    <w:p w:rsidR="003F52F0" w:rsidRPr="00E15A7A" w:rsidRDefault="003F52F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Характер коррупционного риска:</w:t>
      </w:r>
    </w:p>
    <w:p w:rsidR="003F52F0" w:rsidRPr="00E15A7A" w:rsidRDefault="003F52F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В соответствии с Законом Республики Казахстан» О противодействии коррупции«, приказом Председателя Агентства Республики Казахстан по делам государственной службы и противодействию коррупции от 19 октября 2016 года №12» Об утверждении Типовых правил проведения внутреннего анализа коррупционных рисков " проведен внутренний анализ.</w:t>
      </w:r>
    </w:p>
    <w:p w:rsidR="003F52F0" w:rsidRPr="00E15A7A" w:rsidRDefault="003F52F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Статьей 114 Кодекса» О таможенном регулировании в Республике Казахстан " (далее - Кодекс) регламентированы вопросы зачета (возврата)денежных сумм, внесенных в качестве обеспечения исполнения обязанности по уплате таможенных пошлин, налогов.</w:t>
      </w:r>
    </w:p>
    <w:p w:rsidR="003F52F0" w:rsidRPr="00E15A7A" w:rsidRDefault="003F52F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Таким образом, в соответствии с частью 1 статьи 114 настоящего Кодекса при использовании денег в качестве обеспечения исполнения обязанности по уплате таможенных пошлин, налогов производится их перечисление в бюджет в счет уплаты предстоящих таможенных пошлин, налогов, таможенных сборов, специальных, антидемпинговых, компенсационных пошлин, а также пеней, процентов, а также списание со счета временного размещения денег возврат указанных денег таможенным органом:</w:t>
      </w:r>
    </w:p>
    <w:p w:rsidR="007D7B0B" w:rsidRPr="00E15A7A" w:rsidRDefault="007D7B0B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1) исполнения, прекращения либо не наступления в полном объеме обязанности по уплате таможенных пошлин, налогов, исполнение которых обеспечено деньгами, внесенными в качестве обеспечения исполнения обязанности по уплате таможенных пошлин, налогов;</w:t>
      </w:r>
    </w:p>
    <w:p w:rsidR="007D7B0B" w:rsidRPr="00E15A7A" w:rsidRDefault="007D7B0B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2) пени, проценты уплачены в бюджет;</w:t>
      </w:r>
    </w:p>
    <w:p w:rsidR="003F52F0" w:rsidRPr="00E15A7A" w:rsidRDefault="007D7B0B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lastRenderedPageBreak/>
        <w:t>3) предоставления другим способом обеспечения исполнения обязанности по уплате таможенных пошлин, налогов в случае, если такая замена вместо денег произведена до наступления Срока исполнения обязанности по уплате таможенных пошлин, налогов и (или) срок уплаты процентов не наступил в случае начисления таких процентов для отсрочки или рассрочки уплаты ввозных таможенных пошлин.</w:t>
      </w:r>
    </w:p>
    <w:p w:rsidR="00AC402D" w:rsidRPr="00E15A7A" w:rsidRDefault="00AC402D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При фактическом задействовании стоимостных профилей рисков при таможенном оформлении декларант в целях выпуска товаров вносит на депозит органа государственных доходов (далее – ГКО) сумму начисленных платежей и в последующем принимает меры по подтверждению и доказыванию заявленной таможенной стоимости в срок в соответствии с действующими правилами.</w:t>
      </w:r>
    </w:p>
    <w:p w:rsidR="00AC402D" w:rsidRPr="00E15A7A" w:rsidRDefault="00AC402D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В случае, если по результатам проверки МКО принято решение о подтверждении заявленной стоимости, сумма, внесенная на депозит в качестве обеспечения, подлежит возврату.</w:t>
      </w:r>
    </w:p>
    <w:p w:rsidR="00AC402D" w:rsidRPr="00E15A7A" w:rsidRDefault="00AC402D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Однако статья 114 Кодекса не содержит конкретных механизмов возврата. Например, отсутствует норма о документе, являющемся основанием для возврата суммы обеспечения (заявление декларанта, решение ГКО).</w:t>
      </w:r>
    </w:p>
    <w:p w:rsidR="007D7B0B" w:rsidRPr="00E15A7A" w:rsidRDefault="00AC402D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Отсутствие такой нормы в Кодексе дает основание должностным лицам после подтверждения заявленной стоимости принять меры по возврату депонированной суммы до фактического поступления соответствующего заявления либо при отсутствии соответствующего заявления избежать волокиты в возврате.</w:t>
      </w:r>
    </w:p>
    <w:p w:rsidR="00804AD0" w:rsidRPr="00E15A7A" w:rsidRDefault="00804AD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При этом, учитывая, что право декларанта на возврат внесенных сумм обеспечения возникает со дня принятия решения о подтверждении заявленной стоимости, считаем целесообразным внести дополнения в статью 114 Кодекса, тем самым закрепив данные требования Кодексом.</w:t>
      </w:r>
    </w:p>
    <w:p w:rsidR="00804AD0" w:rsidRPr="00E15A7A" w:rsidRDefault="00804AD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Отсутствие конкретного регламента создает во взаимоотношениях должностных лиц органов государственных доходов и декларантов возможные коррупционные риски, заключающиеся в необоснованном волоките в возврате или возврате суммы с депозита без соответствующего заявления, тем самым оказывая им неправомерное преимущество.</w:t>
      </w:r>
    </w:p>
    <w:p w:rsidR="00804AD0" w:rsidRPr="00E15A7A" w:rsidRDefault="00804AD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Рекомендации по устранению коррупционного риска:</w:t>
      </w:r>
    </w:p>
    <w:p w:rsidR="00AC402D" w:rsidRPr="00E15A7A" w:rsidRDefault="00804AD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-Инициировать внесение дополнений в статью 114 Кодекса Республики Казахстан «О таможенном регулировании в Республике Казахстан» следующего содержания: «пункт 3-1. возврат суммы обеспечения исполнения обязательства по уплате таможенных пошлин, налогов со счета дополнительного размещения производится по заявлению плательщика».</w:t>
      </w:r>
    </w:p>
    <w:p w:rsidR="00804AD0" w:rsidRPr="00E15A7A" w:rsidRDefault="00804AD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1.2 наименование коррупционного риска: отсутствие и волокита предъявления требований (уведомлений)при выявлении нарушений в рамках таможенного контроля, что позволяет декларанту самостоятельно устранить нарушения и снять их с административной ответственности.</w:t>
      </w:r>
    </w:p>
    <w:p w:rsidR="00804AD0" w:rsidRPr="00E15A7A" w:rsidRDefault="00804AD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 xml:space="preserve">Характера коррупционного риска: </w:t>
      </w:r>
    </w:p>
    <w:p w:rsidR="00804AD0" w:rsidRPr="00E15A7A" w:rsidRDefault="00804AD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В соответствии с ч. 3 ст. 150 кодекса в отдельных случаях самостоятельное выявление и устранение нарушений, в том числе и после их вынесения, декларант не может быть привлечен к ответственности, предусмотренной Кодексом Республики Казахстан об административных правонарушениях.</w:t>
      </w:r>
    </w:p>
    <w:p w:rsidR="00804AD0" w:rsidRPr="00E15A7A" w:rsidRDefault="00804AD0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lastRenderedPageBreak/>
        <w:t>Как правило, в результате мониторинговой и аналитической работы выявляются факты нарушения правил заполнения деклараций, не влияющие на размер подлежащих уплате таможенных платежей и налогов.</w:t>
      </w:r>
    </w:p>
    <w:p w:rsidR="00803091" w:rsidRPr="00E15A7A" w:rsidRDefault="00803091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При таких обстоятельствах, не исключается возможность оказания со стороны должностных лиц неправомерного предпочтения декларантам путем уведомления о выявленных нарушениях с последующим самостоятельным устранением нарушений в соответствии с «порядком внесения изменений (дополнений) в сведения, заявленные в декларации на товары», утвержденным Решением Коллегии Евразийской экономической комиссии от 10 декабря 2013 года №289.</w:t>
      </w:r>
    </w:p>
    <w:p w:rsidR="00804AD0" w:rsidRPr="00E15A7A" w:rsidRDefault="00803091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Поэтому существуют коррупционные риски, заключающиеся в намеренной задержке предъявления таких требований и предупреждении декларанта о выявленных нарушениях с целью исключения из административной ответственности за заявление недостоверных сведений в таможенной декларации.</w:t>
      </w:r>
    </w:p>
    <w:p w:rsidR="00766779" w:rsidRPr="00E15A7A" w:rsidRDefault="00766779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Рекомендации по устранению коррупционного риска:</w:t>
      </w:r>
    </w:p>
    <w:p w:rsidR="00766779" w:rsidRPr="00E15A7A" w:rsidRDefault="00766779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- »Порядок предъявления декларантам требований (уведомлений) при выявлении нарушений в соответствии с пунктом 3 статьи 150 кодекса".</w:t>
      </w:r>
    </w:p>
    <w:p w:rsidR="00766779" w:rsidRPr="00E15A7A" w:rsidRDefault="00766779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 xml:space="preserve">-Утверждение в указанном порядке алгоритма действий должностных лиц по выставлению требований (уведомлений), так как отсутствует какой-либо временный регламент, т. е. утверждение сроков предъявления таких требований (уведомлений), формы и т.д. </w:t>
      </w:r>
    </w:p>
    <w:p w:rsidR="00766779" w:rsidRPr="00E15A7A" w:rsidRDefault="00766779" w:rsidP="00E15A7A">
      <w:pPr>
        <w:spacing w:line="271" w:lineRule="auto"/>
        <w:contextualSpacing/>
        <w:jc w:val="both"/>
        <w:rPr>
          <w:rFonts w:ascii="Arial" w:hAnsi="Arial" w:cs="Arial"/>
          <w:sz w:val="24"/>
          <w:szCs w:val="24"/>
          <w:lang w:val="kk-KZ"/>
        </w:rPr>
      </w:pPr>
    </w:p>
    <w:p w:rsidR="00766779" w:rsidRPr="00E15A7A" w:rsidRDefault="00766779" w:rsidP="00E15A7A">
      <w:pPr>
        <w:spacing w:line="271" w:lineRule="auto"/>
        <w:contextualSpacing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E15A7A">
        <w:rPr>
          <w:rFonts w:ascii="Arial" w:hAnsi="Arial" w:cs="Arial"/>
          <w:i/>
          <w:sz w:val="24"/>
          <w:szCs w:val="24"/>
          <w:lang w:val="kk-KZ"/>
        </w:rPr>
        <w:t>Приложение: Карта риска</w:t>
      </w:r>
    </w:p>
    <w:p w:rsidR="00766779" w:rsidRPr="00E15A7A" w:rsidRDefault="00766779" w:rsidP="00E15A7A">
      <w:pPr>
        <w:spacing w:line="271" w:lineRule="auto"/>
        <w:contextualSpacing/>
        <w:rPr>
          <w:rFonts w:ascii="Arial" w:hAnsi="Arial" w:cs="Arial"/>
          <w:sz w:val="24"/>
          <w:szCs w:val="24"/>
          <w:lang w:val="kk-KZ"/>
        </w:rPr>
      </w:pPr>
    </w:p>
    <w:p w:rsidR="00766779" w:rsidRPr="00E15A7A" w:rsidRDefault="00766779" w:rsidP="00E15A7A">
      <w:pPr>
        <w:spacing w:line="271" w:lineRule="auto"/>
        <w:contextualSpacing/>
        <w:rPr>
          <w:rFonts w:ascii="Arial" w:hAnsi="Arial" w:cs="Arial"/>
          <w:sz w:val="24"/>
          <w:szCs w:val="24"/>
          <w:lang w:val="kk-KZ"/>
        </w:rPr>
      </w:pPr>
    </w:p>
    <w:p w:rsidR="00766779" w:rsidRPr="00E15A7A" w:rsidRDefault="00766779" w:rsidP="00E15A7A">
      <w:pPr>
        <w:spacing w:line="271" w:lineRule="auto"/>
        <w:contextualSpacing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 xml:space="preserve">Руководитель рабочей группы: </w:t>
      </w:r>
      <w:r w:rsidR="00A80A33" w:rsidRPr="00E15A7A">
        <w:rPr>
          <w:rFonts w:ascii="Arial" w:hAnsi="Arial" w:cs="Arial"/>
          <w:sz w:val="24"/>
          <w:szCs w:val="24"/>
          <w:lang w:val="kk-KZ"/>
        </w:rPr>
        <w:tab/>
      </w:r>
      <w:r w:rsidR="00A80A33" w:rsidRPr="00E15A7A">
        <w:rPr>
          <w:rFonts w:ascii="Arial" w:hAnsi="Arial" w:cs="Arial"/>
          <w:sz w:val="24"/>
          <w:szCs w:val="24"/>
          <w:lang w:val="kk-KZ"/>
        </w:rPr>
        <w:tab/>
      </w:r>
      <w:r w:rsidR="00A80A33" w:rsidRPr="00E15A7A">
        <w:rPr>
          <w:rFonts w:ascii="Arial" w:hAnsi="Arial" w:cs="Arial"/>
          <w:sz w:val="24"/>
          <w:szCs w:val="24"/>
          <w:lang w:val="kk-KZ"/>
        </w:rPr>
        <w:tab/>
      </w:r>
      <w:r w:rsidR="00A80A33" w:rsidRPr="00E15A7A">
        <w:rPr>
          <w:rFonts w:ascii="Arial" w:hAnsi="Arial" w:cs="Arial"/>
          <w:sz w:val="24"/>
          <w:szCs w:val="24"/>
          <w:lang w:val="kk-KZ"/>
        </w:rPr>
        <w:tab/>
      </w:r>
      <w:r w:rsidR="00A80A33" w:rsidRPr="00E15A7A">
        <w:rPr>
          <w:rFonts w:ascii="Arial" w:hAnsi="Arial" w:cs="Arial"/>
          <w:sz w:val="24"/>
          <w:szCs w:val="24"/>
          <w:lang w:val="kk-KZ"/>
        </w:rPr>
        <w:tab/>
      </w:r>
      <w:r w:rsidR="00A80A33" w:rsidRPr="00E15A7A">
        <w:rPr>
          <w:rFonts w:ascii="Arial" w:hAnsi="Arial" w:cs="Arial"/>
          <w:sz w:val="24"/>
          <w:szCs w:val="24"/>
          <w:lang w:val="kk-KZ"/>
        </w:rPr>
        <w:tab/>
      </w:r>
      <w:r w:rsidRPr="00E15A7A">
        <w:rPr>
          <w:rFonts w:ascii="Arial" w:hAnsi="Arial" w:cs="Arial"/>
          <w:sz w:val="24"/>
          <w:szCs w:val="24"/>
          <w:lang w:val="kk-KZ"/>
        </w:rPr>
        <w:t>К. Бекшин</w:t>
      </w:r>
    </w:p>
    <w:p w:rsidR="00766779" w:rsidRPr="00E15A7A" w:rsidRDefault="00766779" w:rsidP="00E15A7A">
      <w:pPr>
        <w:spacing w:line="271" w:lineRule="auto"/>
        <w:contextualSpacing/>
        <w:rPr>
          <w:rFonts w:ascii="Arial" w:hAnsi="Arial" w:cs="Arial"/>
          <w:sz w:val="24"/>
          <w:szCs w:val="24"/>
          <w:lang w:val="kk-KZ"/>
        </w:rPr>
      </w:pPr>
    </w:p>
    <w:p w:rsidR="00766779" w:rsidRPr="00E15A7A" w:rsidRDefault="00766779" w:rsidP="00E15A7A">
      <w:pPr>
        <w:spacing w:line="271" w:lineRule="auto"/>
        <w:contextualSpacing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Состав рабочей группы:</w:t>
      </w:r>
      <w:r w:rsidR="00A80A33" w:rsidRPr="00E15A7A">
        <w:rPr>
          <w:rFonts w:ascii="Arial" w:hAnsi="Arial" w:cs="Arial"/>
          <w:sz w:val="24"/>
          <w:szCs w:val="24"/>
          <w:lang w:val="kk-KZ"/>
        </w:rPr>
        <w:tab/>
      </w:r>
      <w:r w:rsidR="00A80A33" w:rsidRPr="00E15A7A">
        <w:rPr>
          <w:rFonts w:ascii="Arial" w:hAnsi="Arial" w:cs="Arial"/>
          <w:sz w:val="24"/>
          <w:szCs w:val="24"/>
          <w:lang w:val="kk-KZ"/>
        </w:rPr>
        <w:tab/>
      </w:r>
      <w:r w:rsidR="00A80A33" w:rsidRPr="00E15A7A">
        <w:rPr>
          <w:rFonts w:ascii="Arial" w:hAnsi="Arial" w:cs="Arial"/>
          <w:sz w:val="24"/>
          <w:szCs w:val="24"/>
          <w:lang w:val="kk-KZ"/>
        </w:rPr>
        <w:tab/>
      </w:r>
      <w:r w:rsidR="00A80A33" w:rsidRPr="00E15A7A">
        <w:rPr>
          <w:rFonts w:ascii="Arial" w:hAnsi="Arial" w:cs="Arial"/>
          <w:sz w:val="24"/>
          <w:szCs w:val="24"/>
          <w:lang w:val="kk-KZ"/>
        </w:rPr>
        <w:tab/>
      </w:r>
      <w:r w:rsidR="00A80A33" w:rsidRPr="00E15A7A">
        <w:rPr>
          <w:rFonts w:ascii="Arial" w:hAnsi="Arial" w:cs="Arial"/>
          <w:sz w:val="24"/>
          <w:szCs w:val="24"/>
          <w:lang w:val="kk-KZ"/>
        </w:rPr>
        <w:tab/>
      </w:r>
      <w:r w:rsidR="00A80A33" w:rsidRPr="00E15A7A">
        <w:rPr>
          <w:rFonts w:ascii="Arial" w:hAnsi="Arial" w:cs="Arial"/>
          <w:sz w:val="24"/>
          <w:szCs w:val="24"/>
          <w:lang w:val="kk-KZ"/>
        </w:rPr>
        <w:tab/>
      </w:r>
      <w:r w:rsidR="00A80A33" w:rsidRPr="00E15A7A">
        <w:rPr>
          <w:rFonts w:ascii="Arial" w:hAnsi="Arial" w:cs="Arial"/>
          <w:sz w:val="24"/>
          <w:szCs w:val="24"/>
          <w:lang w:val="kk-KZ"/>
        </w:rPr>
        <w:tab/>
      </w:r>
      <w:r w:rsidRPr="00E15A7A">
        <w:rPr>
          <w:rFonts w:ascii="Arial" w:hAnsi="Arial" w:cs="Arial"/>
          <w:sz w:val="24"/>
          <w:szCs w:val="24"/>
          <w:lang w:val="kk-KZ"/>
        </w:rPr>
        <w:t xml:space="preserve"> М. Кожанбай </w:t>
      </w:r>
    </w:p>
    <w:p w:rsidR="00766779" w:rsidRPr="00E15A7A" w:rsidRDefault="00766779" w:rsidP="00E15A7A">
      <w:pPr>
        <w:spacing w:line="271" w:lineRule="auto"/>
        <w:ind w:left="6372" w:firstLine="708"/>
        <w:contextualSpacing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Н. Шакизада</w:t>
      </w:r>
    </w:p>
    <w:p w:rsidR="00766779" w:rsidRPr="00E15A7A" w:rsidRDefault="00766779" w:rsidP="00E15A7A">
      <w:pPr>
        <w:spacing w:line="271" w:lineRule="auto"/>
        <w:ind w:left="6372" w:firstLine="708"/>
        <w:contextualSpacing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>К. Стамбекова</w:t>
      </w:r>
    </w:p>
    <w:p w:rsidR="00766779" w:rsidRPr="00E15A7A" w:rsidRDefault="00766779" w:rsidP="00E15A7A">
      <w:pPr>
        <w:spacing w:line="271" w:lineRule="auto"/>
        <w:contextualSpacing/>
        <w:rPr>
          <w:rFonts w:ascii="Arial" w:hAnsi="Arial" w:cs="Arial"/>
          <w:sz w:val="24"/>
          <w:szCs w:val="24"/>
          <w:lang w:val="kk-KZ"/>
        </w:rPr>
      </w:pPr>
      <w:r w:rsidRPr="00E15A7A">
        <w:rPr>
          <w:rFonts w:ascii="Arial" w:hAnsi="Arial" w:cs="Arial"/>
          <w:sz w:val="24"/>
          <w:szCs w:val="24"/>
          <w:lang w:val="kk-KZ"/>
        </w:rPr>
        <w:tab/>
      </w:r>
      <w:r w:rsidRPr="00E15A7A">
        <w:rPr>
          <w:rFonts w:ascii="Arial" w:hAnsi="Arial" w:cs="Arial"/>
          <w:sz w:val="24"/>
          <w:szCs w:val="24"/>
          <w:lang w:val="kk-KZ"/>
        </w:rPr>
        <w:tab/>
      </w:r>
      <w:r w:rsidRPr="00E15A7A">
        <w:rPr>
          <w:rFonts w:ascii="Arial" w:hAnsi="Arial" w:cs="Arial"/>
          <w:sz w:val="24"/>
          <w:szCs w:val="24"/>
          <w:lang w:val="kk-KZ"/>
        </w:rPr>
        <w:tab/>
      </w:r>
      <w:r w:rsidR="00E15A7A">
        <w:rPr>
          <w:rFonts w:ascii="Arial" w:hAnsi="Arial" w:cs="Arial"/>
          <w:sz w:val="24"/>
          <w:szCs w:val="24"/>
          <w:lang w:val="kk-KZ"/>
        </w:rPr>
        <w:tab/>
      </w:r>
      <w:r w:rsidR="00E15A7A">
        <w:rPr>
          <w:rFonts w:ascii="Arial" w:hAnsi="Arial" w:cs="Arial"/>
          <w:sz w:val="24"/>
          <w:szCs w:val="24"/>
          <w:lang w:val="kk-KZ"/>
        </w:rPr>
        <w:tab/>
      </w:r>
      <w:r w:rsidR="00E15A7A">
        <w:rPr>
          <w:rFonts w:ascii="Arial" w:hAnsi="Arial" w:cs="Arial"/>
          <w:sz w:val="24"/>
          <w:szCs w:val="24"/>
          <w:lang w:val="kk-KZ"/>
        </w:rPr>
        <w:tab/>
      </w:r>
      <w:r w:rsidR="00E15A7A">
        <w:rPr>
          <w:rFonts w:ascii="Arial" w:hAnsi="Arial" w:cs="Arial"/>
          <w:sz w:val="24"/>
          <w:szCs w:val="24"/>
          <w:lang w:val="kk-KZ"/>
        </w:rPr>
        <w:tab/>
      </w:r>
      <w:r w:rsidR="00E15A7A">
        <w:rPr>
          <w:rFonts w:ascii="Arial" w:hAnsi="Arial" w:cs="Arial"/>
          <w:sz w:val="24"/>
          <w:szCs w:val="24"/>
          <w:lang w:val="kk-KZ"/>
        </w:rPr>
        <w:tab/>
      </w:r>
      <w:r w:rsidR="00E15A7A">
        <w:rPr>
          <w:rFonts w:ascii="Arial" w:hAnsi="Arial" w:cs="Arial"/>
          <w:sz w:val="24"/>
          <w:szCs w:val="24"/>
          <w:lang w:val="kk-KZ"/>
        </w:rPr>
        <w:tab/>
      </w:r>
      <w:r w:rsidR="00E15A7A">
        <w:rPr>
          <w:rFonts w:ascii="Arial" w:hAnsi="Arial" w:cs="Arial"/>
          <w:sz w:val="24"/>
          <w:szCs w:val="24"/>
          <w:lang w:val="kk-KZ"/>
        </w:rPr>
        <w:tab/>
      </w:r>
      <w:r w:rsidRPr="00E15A7A">
        <w:rPr>
          <w:rFonts w:ascii="Arial" w:hAnsi="Arial" w:cs="Arial"/>
          <w:sz w:val="24"/>
          <w:szCs w:val="24"/>
          <w:lang w:val="kk-KZ"/>
        </w:rPr>
        <w:t>Р. Ануар</w:t>
      </w:r>
    </w:p>
    <w:sectPr w:rsidR="00766779" w:rsidRPr="00E15A7A" w:rsidSect="0088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2F0"/>
    <w:rsid w:val="003F52F0"/>
    <w:rsid w:val="00766779"/>
    <w:rsid w:val="007D7B0B"/>
    <w:rsid w:val="00803091"/>
    <w:rsid w:val="00804AD0"/>
    <w:rsid w:val="008846FD"/>
    <w:rsid w:val="00A80A33"/>
    <w:rsid w:val="00AC402D"/>
    <w:rsid w:val="00E1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2022-10-03T09:51:00Z</dcterms:created>
  <dcterms:modified xsi:type="dcterms:W3CDTF">2022-10-03T10:20:00Z</dcterms:modified>
</cp:coreProperties>
</file>