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3" w:type="dxa"/>
        <w:tblCellSpacing w:w="0" w:type="auto"/>
        <w:tblLook w:val="04A0" w:firstRow="1" w:lastRow="0" w:firstColumn="1" w:lastColumn="0" w:noHBand="0" w:noVBand="1"/>
      </w:tblPr>
      <w:tblGrid>
        <w:gridCol w:w="5897"/>
        <w:gridCol w:w="4466"/>
      </w:tblGrid>
      <w:tr w:rsidR="001F07BB" w:rsidRPr="00AD71E3" w:rsidTr="00D45AE6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7BB" w:rsidRDefault="001F07BB" w:rsidP="009A558C">
            <w:pPr>
              <w:spacing w:after="0" w:line="20" w:lineRule="atLeast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7BB" w:rsidRPr="00AD71E3" w:rsidRDefault="001F07BB" w:rsidP="009A558C">
            <w:pPr>
              <w:spacing w:after="0" w:line="20" w:lineRule="atLeast"/>
              <w:jc w:val="center"/>
            </w:pPr>
            <w:proofErr w:type="spellStart"/>
            <w:r w:rsidRPr="00AD71E3">
              <w:rPr>
                <w:color w:val="000000"/>
                <w:sz w:val="20"/>
              </w:rPr>
              <w:t>Қазақстан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Республикасы</w:t>
            </w:r>
            <w:proofErr w:type="spellEnd"/>
            <w:r w:rsidRPr="00AD71E3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Премьер-Министрінің</w:t>
            </w:r>
            <w:proofErr w:type="spellEnd"/>
            <w:r w:rsidRPr="00AD71E3">
              <w:br/>
            </w:r>
            <w:proofErr w:type="spellStart"/>
            <w:r w:rsidRPr="00AD71E3">
              <w:rPr>
                <w:color w:val="000000"/>
                <w:sz w:val="20"/>
              </w:rPr>
              <w:t>Бірінші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орынбасары-Қаржы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министрінің</w:t>
            </w:r>
            <w:proofErr w:type="spellEnd"/>
            <w:r w:rsidRPr="00AD71E3">
              <w:br/>
            </w:r>
            <w:r w:rsidRPr="00AD71E3">
              <w:rPr>
                <w:color w:val="000000"/>
                <w:sz w:val="20"/>
              </w:rPr>
              <w:t xml:space="preserve">2020 </w:t>
            </w:r>
            <w:proofErr w:type="spellStart"/>
            <w:r w:rsidRPr="00AD71E3">
              <w:rPr>
                <w:color w:val="000000"/>
                <w:sz w:val="20"/>
              </w:rPr>
              <w:t>жылғы</w:t>
            </w:r>
            <w:proofErr w:type="spellEnd"/>
            <w:r w:rsidRPr="00AD71E3">
              <w:rPr>
                <w:color w:val="000000"/>
                <w:sz w:val="20"/>
              </w:rPr>
              <w:t xml:space="preserve"> 5 </w:t>
            </w:r>
            <w:proofErr w:type="spellStart"/>
            <w:r w:rsidRPr="00AD71E3">
              <w:rPr>
                <w:color w:val="000000"/>
                <w:sz w:val="20"/>
              </w:rPr>
              <w:t>мамырдағы</w:t>
            </w:r>
            <w:proofErr w:type="spellEnd"/>
            <w:r w:rsidRPr="00AD71E3">
              <w:rPr>
                <w:color w:val="000000"/>
                <w:sz w:val="20"/>
                <w:lang w:val="kk-KZ"/>
              </w:rPr>
              <w:t xml:space="preserve"> </w:t>
            </w:r>
            <w:r w:rsidRPr="00AD71E3">
              <w:rPr>
                <w:color w:val="000000"/>
                <w:sz w:val="20"/>
              </w:rPr>
              <w:t xml:space="preserve">№ 456 </w:t>
            </w:r>
            <w:proofErr w:type="spellStart"/>
            <w:r w:rsidRPr="00AD71E3">
              <w:rPr>
                <w:color w:val="000000"/>
                <w:sz w:val="20"/>
              </w:rPr>
              <w:t>бұйрығына</w:t>
            </w:r>
            <w:proofErr w:type="spellEnd"/>
            <w:r w:rsidRPr="00AD71E3">
              <w:br/>
            </w:r>
            <w:r w:rsidRPr="00AD71E3">
              <w:rPr>
                <w:color w:val="000000"/>
                <w:sz w:val="20"/>
              </w:rPr>
              <w:t>2-қосымша</w:t>
            </w:r>
          </w:p>
        </w:tc>
      </w:tr>
      <w:tr w:rsidR="001F07BB" w:rsidRPr="00AD71E3" w:rsidTr="00D45AE6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7BB" w:rsidRPr="00AD71E3" w:rsidRDefault="001F07BB" w:rsidP="009A558C">
            <w:pPr>
              <w:spacing w:after="0" w:line="20" w:lineRule="atLeast"/>
              <w:jc w:val="center"/>
            </w:pPr>
            <w:r w:rsidRPr="00AD71E3">
              <w:rPr>
                <w:color w:val="000000"/>
                <w:sz w:val="20"/>
              </w:rPr>
              <w:t> </w:t>
            </w:r>
          </w:p>
        </w:tc>
        <w:tc>
          <w:tcPr>
            <w:tcW w:w="4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7BB" w:rsidRPr="00AD71E3" w:rsidRDefault="001F07BB" w:rsidP="009A558C">
            <w:pPr>
              <w:spacing w:after="0" w:line="20" w:lineRule="atLeast"/>
              <w:jc w:val="center"/>
            </w:pPr>
            <w:proofErr w:type="spellStart"/>
            <w:r w:rsidRPr="00AD71E3"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1F07BB" w:rsidRPr="00AD71E3" w:rsidTr="00D45AE6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7BB" w:rsidRPr="00AD71E3" w:rsidRDefault="001F07BB" w:rsidP="009A558C">
            <w:pPr>
              <w:spacing w:after="0" w:line="20" w:lineRule="atLeast"/>
              <w:jc w:val="center"/>
            </w:pPr>
            <w:r w:rsidRPr="00AD71E3">
              <w:rPr>
                <w:color w:val="000000"/>
                <w:sz w:val="20"/>
              </w:rPr>
              <w:t> </w:t>
            </w:r>
          </w:p>
        </w:tc>
        <w:tc>
          <w:tcPr>
            <w:tcW w:w="4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07BB" w:rsidRPr="00AD71E3" w:rsidRDefault="001F07BB" w:rsidP="00347FFA">
            <w:pPr>
              <w:spacing w:after="0" w:line="20" w:lineRule="atLeast"/>
              <w:jc w:val="center"/>
            </w:pPr>
            <w:r w:rsidRPr="00AD71E3">
              <w:rPr>
                <w:color w:val="000000"/>
                <w:sz w:val="20"/>
              </w:rPr>
              <w:t>"</w:t>
            </w:r>
            <w:r w:rsidR="00347FFA">
              <w:rPr>
                <w:color w:val="000000"/>
                <w:sz w:val="20"/>
                <w:lang w:val="kk-KZ"/>
              </w:rPr>
              <w:t>19</w:t>
            </w:r>
            <w:r w:rsidRPr="00AD71E3">
              <w:rPr>
                <w:color w:val="000000"/>
                <w:sz w:val="20"/>
              </w:rPr>
              <w:t xml:space="preserve">" </w:t>
            </w:r>
            <w:r w:rsidR="00347FFA">
              <w:rPr>
                <w:color w:val="000000"/>
                <w:sz w:val="20"/>
                <w:lang w:val="kk-KZ"/>
              </w:rPr>
              <w:t>шілде</w:t>
            </w:r>
            <w:r w:rsidR="00AD71E3">
              <w:rPr>
                <w:color w:val="000000"/>
                <w:sz w:val="20"/>
                <w:lang w:val="kk-KZ"/>
              </w:rPr>
              <w:t xml:space="preserve"> </w:t>
            </w:r>
            <w:r w:rsidRPr="00AD71E3">
              <w:rPr>
                <w:color w:val="000000"/>
                <w:sz w:val="20"/>
              </w:rPr>
              <w:t>202</w:t>
            </w:r>
            <w:r w:rsidR="00040BB0">
              <w:rPr>
                <w:color w:val="000000"/>
                <w:sz w:val="20"/>
                <w:lang w:val="kk-KZ"/>
              </w:rPr>
              <w:t>4</w:t>
            </w:r>
            <w:r w:rsidR="00AD71E3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жыл</w:t>
            </w:r>
            <w:proofErr w:type="spellEnd"/>
            <w:r w:rsidRPr="00AD71E3">
              <w:br/>
            </w:r>
            <w:r w:rsidRPr="00AD71E3">
              <w:rPr>
                <w:color w:val="000000"/>
                <w:sz w:val="20"/>
              </w:rPr>
              <w:t>(</w:t>
            </w:r>
            <w:proofErr w:type="spellStart"/>
            <w:r w:rsidRPr="00AD71E3">
              <w:rPr>
                <w:color w:val="000000"/>
                <w:sz w:val="20"/>
              </w:rPr>
              <w:t>кредиторлар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талаптары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r w:rsidRPr="00AD71E3">
              <w:br/>
            </w:r>
            <w:proofErr w:type="spellStart"/>
            <w:r w:rsidRPr="00AD71E3">
              <w:rPr>
                <w:color w:val="000000"/>
                <w:sz w:val="20"/>
              </w:rPr>
              <w:t>тізілімінің</w:t>
            </w:r>
            <w:proofErr w:type="spellEnd"/>
            <w:r w:rsidRPr="00AD71E3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қалыптастырылған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күні</w:t>
            </w:r>
            <w:proofErr w:type="spellEnd"/>
            <w:r w:rsidRPr="00AD71E3">
              <w:rPr>
                <w:color w:val="000000"/>
                <w:sz w:val="20"/>
              </w:rPr>
              <w:t>)</w:t>
            </w:r>
            <w:r w:rsidRPr="00AD71E3">
              <w:br/>
            </w:r>
            <w:r w:rsidRPr="00AD71E3">
              <w:rPr>
                <w:color w:val="000000"/>
                <w:sz w:val="20"/>
              </w:rPr>
              <w:t>"</w:t>
            </w:r>
            <w:r w:rsidR="00347FFA">
              <w:rPr>
                <w:color w:val="000000"/>
                <w:sz w:val="20"/>
                <w:lang w:val="kk-KZ"/>
              </w:rPr>
              <w:t>19</w:t>
            </w:r>
            <w:r w:rsidRPr="00AD71E3">
              <w:rPr>
                <w:color w:val="000000"/>
                <w:sz w:val="20"/>
              </w:rPr>
              <w:t xml:space="preserve">" </w:t>
            </w:r>
            <w:r w:rsidR="00347FFA">
              <w:rPr>
                <w:color w:val="000000"/>
                <w:sz w:val="20"/>
                <w:lang w:val="kk-KZ"/>
              </w:rPr>
              <w:t>шілде</w:t>
            </w:r>
            <w:r w:rsidR="00AD71E3">
              <w:rPr>
                <w:color w:val="000000"/>
                <w:sz w:val="20"/>
                <w:lang w:val="kk-KZ"/>
              </w:rPr>
              <w:t xml:space="preserve"> </w:t>
            </w:r>
            <w:r w:rsidRPr="00AD71E3">
              <w:rPr>
                <w:color w:val="000000"/>
                <w:sz w:val="20"/>
              </w:rPr>
              <w:t>202</w:t>
            </w:r>
            <w:r w:rsidR="00040BB0">
              <w:rPr>
                <w:color w:val="000000"/>
                <w:sz w:val="20"/>
                <w:lang w:val="kk-KZ"/>
              </w:rPr>
              <w:t>4</w:t>
            </w:r>
            <w:r w:rsidR="00AD71E3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жыл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r w:rsidRPr="00AD71E3">
              <w:br/>
            </w:r>
            <w:r w:rsidRPr="00AD71E3">
              <w:rPr>
                <w:color w:val="000000"/>
                <w:sz w:val="20"/>
              </w:rPr>
              <w:t>(</w:t>
            </w:r>
            <w:proofErr w:type="spellStart"/>
            <w:r w:rsidRPr="00AD71E3">
              <w:rPr>
                <w:color w:val="000000"/>
                <w:sz w:val="20"/>
              </w:rPr>
              <w:t>кредиторлар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талаптары</w:t>
            </w:r>
            <w:proofErr w:type="spellEnd"/>
            <w:r w:rsidRPr="00AD71E3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тізілімінің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интернет-ресурста</w:t>
            </w:r>
            <w:proofErr w:type="spellEnd"/>
            <w:r w:rsidRPr="00AD71E3">
              <w:rPr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орналастырған</w:t>
            </w:r>
            <w:proofErr w:type="spellEnd"/>
            <w:r w:rsidRPr="00AD71E3">
              <w:rPr>
                <w:color w:val="000000"/>
                <w:sz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</w:rPr>
              <w:t>күні</w:t>
            </w:r>
            <w:proofErr w:type="spellEnd"/>
            <w:r w:rsidRPr="00AD71E3">
              <w:rPr>
                <w:color w:val="000000"/>
                <w:sz w:val="20"/>
              </w:rPr>
              <w:t>)</w:t>
            </w:r>
          </w:p>
        </w:tc>
      </w:tr>
    </w:tbl>
    <w:p w:rsidR="001F07BB" w:rsidRPr="00AD71E3" w:rsidRDefault="001F07BB" w:rsidP="009A558C">
      <w:pPr>
        <w:spacing w:after="0" w:line="20" w:lineRule="atLeast"/>
        <w:jc w:val="center"/>
        <w:rPr>
          <w:b/>
          <w:bCs/>
          <w:sz w:val="28"/>
          <w:szCs w:val="28"/>
        </w:rPr>
      </w:pPr>
      <w:bookmarkStart w:id="0" w:name="_GoBack"/>
    </w:p>
    <w:p w:rsidR="00760C8D" w:rsidRDefault="00347FFA" w:rsidP="00760C8D">
      <w:pPr>
        <w:spacing w:after="0" w:line="20" w:lineRule="atLeast"/>
        <w:jc w:val="center"/>
        <w:rPr>
          <w:b/>
          <w:color w:val="000000"/>
          <w:sz w:val="28"/>
          <w:szCs w:val="28"/>
          <w:lang w:val="kk-KZ"/>
        </w:rPr>
      </w:pPr>
      <w:r w:rsidRPr="00347FFA">
        <w:rPr>
          <w:b/>
          <w:bCs/>
          <w:sz w:val="28"/>
          <w:szCs w:val="28"/>
          <w:lang w:val="kk-KZ"/>
        </w:rPr>
        <w:t>"Platinum Stroi Serbice"</w:t>
      </w:r>
      <w:r w:rsidR="00760C8D" w:rsidRPr="00760C8D">
        <w:rPr>
          <w:b/>
          <w:bCs/>
          <w:sz w:val="28"/>
          <w:szCs w:val="28"/>
        </w:rPr>
        <w:t xml:space="preserve"> ЖШС</w:t>
      </w:r>
      <w:r w:rsidR="009A17E4" w:rsidRPr="00760C8D">
        <w:rPr>
          <w:b/>
          <w:bCs/>
          <w:sz w:val="28"/>
          <w:szCs w:val="28"/>
        </w:rPr>
        <w:t xml:space="preserve"> </w:t>
      </w:r>
      <w:r w:rsidR="001F07BB" w:rsidRPr="00760C8D">
        <w:rPr>
          <w:b/>
          <w:bCs/>
          <w:sz w:val="28"/>
          <w:szCs w:val="28"/>
          <w:lang w:val="kk-KZ"/>
        </w:rPr>
        <w:t>(</w:t>
      </w:r>
      <w:r w:rsidR="00760C8D" w:rsidRPr="00760C8D">
        <w:rPr>
          <w:b/>
          <w:bCs/>
          <w:sz w:val="28"/>
          <w:szCs w:val="28"/>
          <w:lang w:val="kk-KZ"/>
        </w:rPr>
        <w:t>БСН</w:t>
      </w:r>
      <w:r w:rsidR="009A17E4" w:rsidRPr="00760C8D">
        <w:rPr>
          <w:b/>
          <w:bCs/>
          <w:sz w:val="28"/>
          <w:szCs w:val="28"/>
          <w:lang w:val="kk-KZ"/>
        </w:rPr>
        <w:t xml:space="preserve">: </w:t>
      </w:r>
      <w:r>
        <w:rPr>
          <w:b/>
          <w:bCs/>
          <w:sz w:val="28"/>
          <w:szCs w:val="28"/>
        </w:rPr>
        <w:t>220540000548</w:t>
      </w:r>
      <w:r w:rsidR="001F07BB" w:rsidRPr="00760C8D">
        <w:rPr>
          <w:b/>
          <w:bCs/>
          <w:sz w:val="28"/>
          <w:szCs w:val="28"/>
          <w:lang w:val="kk-KZ"/>
        </w:rPr>
        <w:t>)</w:t>
      </w:r>
      <w:r w:rsidR="001F07BB" w:rsidRPr="00760C8D">
        <w:rPr>
          <w:b/>
          <w:color w:val="000000"/>
          <w:sz w:val="28"/>
          <w:szCs w:val="28"/>
          <w:lang w:val="kk-KZ"/>
        </w:rPr>
        <w:t xml:space="preserve"> </w:t>
      </w:r>
    </w:p>
    <w:bookmarkEnd w:id="0"/>
    <w:p w:rsidR="009A17E4" w:rsidRPr="00760C8D" w:rsidRDefault="001F07BB" w:rsidP="00760C8D">
      <w:pPr>
        <w:spacing w:after="0" w:line="20" w:lineRule="atLeast"/>
        <w:jc w:val="center"/>
        <w:rPr>
          <w:color w:val="000000"/>
          <w:sz w:val="20"/>
          <w:szCs w:val="20"/>
          <w:lang w:val="kk-KZ" w:eastAsia="kk-KZ"/>
        </w:rPr>
      </w:pPr>
      <w:r w:rsidRPr="00760C8D">
        <w:rPr>
          <w:b/>
          <w:color w:val="000000"/>
          <w:sz w:val="28"/>
          <w:szCs w:val="28"/>
          <w:lang w:val="kk-KZ"/>
        </w:rPr>
        <w:t xml:space="preserve">кредиторлар </w:t>
      </w:r>
      <w:r w:rsidRPr="00AD71E3">
        <w:rPr>
          <w:b/>
          <w:color w:val="000000"/>
          <w:sz w:val="28"/>
          <w:szCs w:val="28"/>
          <w:lang w:val="kk-KZ"/>
        </w:rPr>
        <w:t>талаптарының тізілімі</w:t>
      </w:r>
    </w:p>
    <w:p w:rsidR="00CD338A" w:rsidRPr="00AD71E3" w:rsidRDefault="006753AE" w:rsidP="009A558C">
      <w:pPr>
        <w:spacing w:after="0" w:line="20" w:lineRule="atLeast"/>
        <w:jc w:val="center"/>
        <w:rPr>
          <w:sz w:val="24"/>
          <w:szCs w:val="24"/>
          <w:lang w:val="kk-KZ"/>
        </w:rPr>
      </w:pPr>
      <w:r w:rsidRPr="00AD71E3">
        <w:rPr>
          <w:color w:val="000000"/>
          <w:sz w:val="24"/>
          <w:szCs w:val="24"/>
          <w:lang w:val="kk-KZ"/>
        </w:rPr>
        <w:t>(атауы/тегі, аты, әкесінің аты (егер ол жеке басын куәландыратын</w:t>
      </w:r>
      <w:r w:rsidR="00740FF2" w:rsidRPr="00AD71E3">
        <w:rPr>
          <w:color w:val="000000"/>
          <w:sz w:val="24"/>
          <w:szCs w:val="24"/>
          <w:lang w:val="kk-KZ"/>
        </w:rPr>
        <w:t xml:space="preserve"> </w:t>
      </w:r>
      <w:r w:rsidRPr="00AD71E3">
        <w:rPr>
          <w:color w:val="000000"/>
          <w:sz w:val="24"/>
          <w:szCs w:val="24"/>
          <w:lang w:val="kk-KZ"/>
        </w:rPr>
        <w:t>құжатта көрсетілсе),таратылатын борышкердің ЖСН/БСН)</w:t>
      </w:r>
    </w:p>
    <w:tbl>
      <w:tblPr>
        <w:tblW w:w="10686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3590"/>
        <w:gridCol w:w="1230"/>
        <w:gridCol w:w="1142"/>
        <w:gridCol w:w="1382"/>
        <w:gridCol w:w="1080"/>
        <w:gridCol w:w="1096"/>
        <w:gridCol w:w="831"/>
      </w:tblGrid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№ т.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тегі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аты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әкесінің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аты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егер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ол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жеке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басын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құжатта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көрсетілсе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)/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кредитордың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Кредитордың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(ЖСН/БСН)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Қойылған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талаптардың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сомасы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теңге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Әкімші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қабылдаған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шешімнің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негізділігін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растайтын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атауы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күні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нөмірі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берешектің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пайда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Танылған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Танылмаған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Ескертпе</w:t>
            </w:r>
            <w:proofErr w:type="spellEnd"/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8</w:t>
            </w: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өмір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денсаулыққа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келтірілген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зиянның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орнын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толтыру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борышкер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жауапты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болатын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азаматтардың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Алименттерді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өндіріп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шарты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істеген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адамдарға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еңбекақы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төлеу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өтемақыларды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төлеу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сақтандыру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қорына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аударымдар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берешек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Міндетті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зейнетақы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жарналары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міндетті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зейнетақы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жарналары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жалақыдан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ұсталған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берешектер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Міндетті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әлеуметтік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медициналық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сақтандыруға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аударымдар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жарналар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берешектер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Қызметтік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өнертабыс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пайдалы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модель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өнеркәсіптік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үлгі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авторларға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сыйақылар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төлеу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Қазақстан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Республикасының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заңнамасына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ресімделген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мүлкінің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кепілімен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етілген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міндеттемелер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банкроттық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рәсімін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жүргізу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банкроттықты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басқарушының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қарыз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алуы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нәтижесінде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туындаған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Орталық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контрагенттің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функцияларын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асыратын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клирингтік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ұйымның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осы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клирингтік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ұйымның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клирингтік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қатысушысы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болып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табылатын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орталық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контрагенттің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қатысуымен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бұрын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жасаған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орындамаған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мәмілелердің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нәтижесінде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туындаған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D338A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6753A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="00754FFE" w:rsidRPr="00AD71E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екінші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F05788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38A" w:rsidRPr="00AD71E3" w:rsidRDefault="00CD338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Салықтық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берешек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Салық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төлеуші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есептілігіне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есептеген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қызметі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органы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өтіп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кеткен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кезеңдері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банкроттық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рәсімі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қолданылған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кезеңі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салықтық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тексерулер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нәтижелері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есептеген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берешегі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2C6773" w:rsidP="009A558C">
            <w:pPr>
              <w:spacing w:after="0" w:line="20" w:lineRule="atLeast"/>
              <w:ind w:left="20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color w:val="000000"/>
                <w:sz w:val="20"/>
                <w:szCs w:val="20"/>
                <w:lang w:val="kk-KZ"/>
              </w:rPr>
              <w:t>Қызылорда қаласы бойынша Мемлекеттік кірістер басқармасы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2C6773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AD71E3">
              <w:rPr>
                <w:sz w:val="20"/>
                <w:szCs w:val="20"/>
              </w:rPr>
              <w:t>090440021657</w:t>
            </w: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347FFA" w:rsidRDefault="00347FF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2 368 797.04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1423C2" w:rsidRDefault="001423C2" w:rsidP="00347FFA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2</w:t>
            </w:r>
            <w:r w:rsidR="00347FFA" w:rsidRPr="00347FFA">
              <w:rPr>
                <w:rFonts w:eastAsiaTheme="minorEastAsia"/>
                <w:color w:val="000000" w:themeColor="text1"/>
                <w:sz w:val="20"/>
                <w:szCs w:val="20"/>
                <w:lang w:val="ru-RU"/>
              </w:rPr>
              <w:t>1</w:t>
            </w: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.05.2024 жылғы №МКБ-10-11-1</w:t>
            </w:r>
            <w:r w:rsidR="00347FFA" w:rsidRPr="00347FFA">
              <w:rPr>
                <w:rFonts w:eastAsiaTheme="minorEastAsia"/>
                <w:color w:val="000000" w:themeColor="text1"/>
                <w:sz w:val="20"/>
                <w:szCs w:val="20"/>
                <w:lang w:val="ru-RU"/>
              </w:rPr>
              <w:t>6</w:t>
            </w: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/4</w:t>
            </w:r>
            <w:r w:rsidR="00347FFA" w:rsidRPr="00347FFA">
              <w:rPr>
                <w:rFonts w:eastAsiaTheme="minorEastAsia"/>
                <w:color w:val="000000" w:themeColor="text1"/>
                <w:sz w:val="20"/>
                <w:szCs w:val="20"/>
                <w:lang w:val="ru-RU"/>
              </w:rPr>
              <w:t>336</w:t>
            </w: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 xml:space="preserve"> санды талап-тілек.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347FFA" w:rsidRDefault="00347FF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</w:rPr>
              <w:t>2 368 797.04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Кедендік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төлемдер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демпингке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өтемақы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баждары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пайыздар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берешек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үшінші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347FF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2 368 797.04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347FF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2 368 797.04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Төртінші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Азаматтық-құқықтық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өзге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міндеттемелер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кепілмен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етілмеген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мөлшердегі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кепілді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кредитордың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міндеттемелері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Бірінші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құрамына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кірмеген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авторлық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шарттардан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lastRenderedPageBreak/>
              <w:t>4)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Соттың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мәмілені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жарамсыз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деп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тануы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мүлікті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банкроттың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мүліктік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массасына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қайтару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шешім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қабылдауы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нәтижесінде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туындаған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кепілге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салынған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мүлікті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кезіндегікепілге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салынған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мүліктің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құны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кепілді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кредитор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талаптарының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мөлшерінен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аз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болса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кепілді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кредиторлардың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талаптарының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айырмашылық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мөлшеріндегі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төртінші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Бесінші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Залалдар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тұрақсыздық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айыбы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өсімпұл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айыппұл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Өздерімен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еңбек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қатынастары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жылдан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басталатын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оңалту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банкроттық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іс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қозғалғанға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ішінде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туындаған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кредиторлардың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еңбекақы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өтемақы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төлеу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борышкерде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оңалту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банкроттық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іс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қозғалғанға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жылдың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алдындағы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күнтізбелік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екі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айда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құралған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орташа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айлық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жалақыдан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аспайтын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есеппен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Қызметкердің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жалақысын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көтеру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нәтижесінде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пайда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болған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бір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жылдан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бастап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банкроттық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туралы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іс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қозғалғанға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дейінгі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кезеңде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есептелген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еңбекақы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өтемақы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төлеу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жөніндегі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кредиторлар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талаптарының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ұлғайту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сомасы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Бесінші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Алтыншы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Белгіленген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мерзімнен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кешіктіріліп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мәлімделген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талабы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Алтыншы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кезек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AD71E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Тізілім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347FF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2 368 797.04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347FFA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2 368 797.04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Тізілімнен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алынған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1E3">
              <w:rPr>
                <w:color w:val="000000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AD71E3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754FFE" w:rsidRPr="00AD71E3" w:rsidTr="00740FF2">
        <w:trPr>
          <w:trHeight w:val="30"/>
        </w:trPr>
        <w:tc>
          <w:tcPr>
            <w:tcW w:w="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7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AD71E3">
              <w:rPr>
                <w:color w:val="000000"/>
                <w:sz w:val="20"/>
                <w:szCs w:val="20"/>
              </w:rPr>
              <w:t>Барлығы</w:t>
            </w:r>
            <w:proofErr w:type="spellEnd"/>
            <w:r w:rsidRPr="00AD71E3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4FFE" w:rsidRPr="00AD71E3" w:rsidRDefault="00754FFE" w:rsidP="009A558C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740FF2" w:rsidRPr="00AD71E3" w:rsidRDefault="00740FF2" w:rsidP="009A558C">
      <w:pPr>
        <w:spacing w:after="0" w:line="20" w:lineRule="atLeast"/>
        <w:jc w:val="both"/>
        <w:rPr>
          <w:color w:val="000000"/>
          <w:sz w:val="28"/>
          <w:lang w:val="kk-KZ"/>
        </w:rPr>
      </w:pPr>
    </w:p>
    <w:p w:rsidR="00F93F3E" w:rsidRDefault="00F93F3E" w:rsidP="007027DE">
      <w:pPr>
        <w:spacing w:after="0" w:line="20" w:lineRule="atLeast"/>
        <w:rPr>
          <w:color w:val="000000"/>
          <w:sz w:val="28"/>
          <w:lang w:val="kk-KZ"/>
        </w:rPr>
      </w:pPr>
    </w:p>
    <w:p w:rsidR="00F93F3E" w:rsidRDefault="00F93F3E" w:rsidP="007027DE">
      <w:pPr>
        <w:spacing w:after="0" w:line="20" w:lineRule="atLeast"/>
        <w:rPr>
          <w:b/>
          <w:color w:val="000000"/>
          <w:sz w:val="28"/>
          <w:lang w:val="kk-KZ"/>
        </w:rPr>
      </w:pPr>
      <w:r w:rsidRPr="00F93F3E">
        <w:rPr>
          <w:b/>
          <w:color w:val="000000"/>
          <w:sz w:val="28"/>
          <w:lang w:val="kk-KZ"/>
        </w:rPr>
        <w:t xml:space="preserve">Дәрменсіз борышкерлермен жұмыс </w:t>
      </w:r>
    </w:p>
    <w:p w:rsidR="00CD338A" w:rsidRPr="005E1ABB" w:rsidRDefault="00F93F3E" w:rsidP="007027DE">
      <w:pPr>
        <w:spacing w:after="0" w:line="20" w:lineRule="atLeast"/>
        <w:rPr>
          <w:b/>
          <w:bCs/>
          <w:lang w:val="kk-KZ"/>
        </w:rPr>
      </w:pPr>
      <w:r w:rsidRPr="00F93F3E">
        <w:rPr>
          <w:b/>
          <w:color w:val="000000"/>
          <w:sz w:val="28"/>
          <w:lang w:val="kk-KZ"/>
        </w:rPr>
        <w:t>басқармасының</w:t>
      </w:r>
      <w:r w:rsidR="005E1ABB" w:rsidRPr="00F93F3E">
        <w:rPr>
          <w:b/>
          <w:bCs/>
          <w:color w:val="000000"/>
          <w:sz w:val="28"/>
          <w:lang w:val="kk-KZ"/>
        </w:rPr>
        <w:t xml:space="preserve"> </w:t>
      </w:r>
      <w:r w:rsidR="00347FFA">
        <w:rPr>
          <w:b/>
          <w:bCs/>
          <w:color w:val="000000"/>
          <w:sz w:val="28"/>
          <w:lang w:val="kk-KZ"/>
        </w:rPr>
        <w:t>жетекші</w:t>
      </w:r>
      <w:r w:rsidR="005E1ABB" w:rsidRPr="00F93F3E">
        <w:rPr>
          <w:b/>
          <w:bCs/>
          <w:color w:val="000000"/>
          <w:sz w:val="28"/>
          <w:lang w:val="kk-KZ"/>
        </w:rPr>
        <w:t xml:space="preserve"> маманы</w:t>
      </w:r>
      <w:r w:rsidR="005E1ABB" w:rsidRPr="00F93F3E">
        <w:rPr>
          <w:b/>
          <w:bCs/>
          <w:color w:val="000000"/>
          <w:sz w:val="28"/>
          <w:lang w:val="kk-KZ"/>
        </w:rPr>
        <w:tab/>
      </w:r>
      <w:r w:rsidR="005E1ABB" w:rsidRPr="00F93F3E">
        <w:rPr>
          <w:b/>
          <w:bCs/>
          <w:color w:val="000000"/>
          <w:sz w:val="28"/>
          <w:lang w:val="kk-KZ"/>
        </w:rPr>
        <w:tab/>
      </w:r>
      <w:r>
        <w:rPr>
          <w:b/>
          <w:bCs/>
          <w:color w:val="000000"/>
          <w:sz w:val="28"/>
          <w:lang w:val="kk-KZ"/>
        </w:rPr>
        <w:tab/>
      </w:r>
      <w:r>
        <w:rPr>
          <w:b/>
          <w:bCs/>
          <w:color w:val="000000"/>
          <w:sz w:val="28"/>
          <w:lang w:val="kk-KZ"/>
        </w:rPr>
        <w:tab/>
      </w:r>
      <w:r w:rsidR="005E1ABB" w:rsidRPr="00AD71E3">
        <w:rPr>
          <w:b/>
          <w:bCs/>
          <w:color w:val="000000"/>
          <w:sz w:val="28"/>
          <w:lang w:val="kk-KZ"/>
        </w:rPr>
        <w:tab/>
      </w:r>
      <w:r w:rsidR="00347FFA">
        <w:rPr>
          <w:b/>
          <w:bCs/>
          <w:color w:val="000000"/>
          <w:sz w:val="28"/>
          <w:lang w:val="kk-KZ"/>
        </w:rPr>
        <w:t>А</w:t>
      </w:r>
      <w:r w:rsidR="005E1ABB" w:rsidRPr="00AD71E3">
        <w:rPr>
          <w:b/>
          <w:bCs/>
          <w:color w:val="000000"/>
          <w:sz w:val="28"/>
          <w:lang w:val="kk-KZ"/>
        </w:rPr>
        <w:t>.</w:t>
      </w:r>
      <w:r w:rsidR="00347FFA">
        <w:rPr>
          <w:b/>
          <w:bCs/>
          <w:color w:val="000000"/>
          <w:sz w:val="28"/>
          <w:lang w:val="kk-KZ"/>
        </w:rPr>
        <w:t xml:space="preserve"> Ержанов</w:t>
      </w:r>
    </w:p>
    <w:p w:rsidR="00CD338A" w:rsidRPr="005E1ABB" w:rsidRDefault="003D50AF" w:rsidP="009A558C">
      <w:pPr>
        <w:spacing w:after="0" w:line="20" w:lineRule="atLeast"/>
        <w:jc w:val="both"/>
        <w:rPr>
          <w:lang w:val="kk-KZ"/>
        </w:rPr>
      </w:pPr>
      <w:r>
        <w:rPr>
          <w:lang w:val="kk-KZ"/>
        </w:rPr>
        <w:t xml:space="preserve"> </w:t>
      </w:r>
    </w:p>
    <w:sectPr w:rsidR="00CD338A" w:rsidRPr="005E1ABB" w:rsidSect="00490F14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8A"/>
    <w:rsid w:val="00040BB0"/>
    <w:rsid w:val="000C10F8"/>
    <w:rsid w:val="000F6E7E"/>
    <w:rsid w:val="001423C2"/>
    <w:rsid w:val="001944CE"/>
    <w:rsid w:val="001B62C0"/>
    <w:rsid w:val="001F07BB"/>
    <w:rsid w:val="00201F43"/>
    <w:rsid w:val="002C6773"/>
    <w:rsid w:val="00347FFA"/>
    <w:rsid w:val="00391F07"/>
    <w:rsid w:val="003D50AF"/>
    <w:rsid w:val="00490F14"/>
    <w:rsid w:val="0059131E"/>
    <w:rsid w:val="005C7D46"/>
    <w:rsid w:val="005E1ABB"/>
    <w:rsid w:val="006753AE"/>
    <w:rsid w:val="006C7F24"/>
    <w:rsid w:val="006E37BF"/>
    <w:rsid w:val="007027DE"/>
    <w:rsid w:val="00740FF2"/>
    <w:rsid w:val="00754FFE"/>
    <w:rsid w:val="00760C8D"/>
    <w:rsid w:val="007A308F"/>
    <w:rsid w:val="007C6EBF"/>
    <w:rsid w:val="009A17E4"/>
    <w:rsid w:val="009A558C"/>
    <w:rsid w:val="009E090B"/>
    <w:rsid w:val="00A90F79"/>
    <w:rsid w:val="00AD71E3"/>
    <w:rsid w:val="00BE4515"/>
    <w:rsid w:val="00BE5A50"/>
    <w:rsid w:val="00CD338A"/>
    <w:rsid w:val="00E50131"/>
    <w:rsid w:val="00EA62E0"/>
    <w:rsid w:val="00F05788"/>
    <w:rsid w:val="00F46845"/>
    <w:rsid w:val="00F804F4"/>
    <w:rsid w:val="00F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19BC"/>
  <w15:docId w15:val="{3411303E-4EE8-4786-A996-D41E8CFC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D338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D338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D338A"/>
    <w:pPr>
      <w:jc w:val="center"/>
    </w:pPr>
    <w:rPr>
      <w:sz w:val="18"/>
      <w:szCs w:val="18"/>
    </w:rPr>
  </w:style>
  <w:style w:type="paragraph" w:customStyle="1" w:styleId="DocDefaults">
    <w:name w:val="DocDefaults"/>
    <w:rsid w:val="00CD338A"/>
  </w:style>
  <w:style w:type="paragraph" w:styleId="ae">
    <w:name w:val="Balloon Text"/>
    <w:basedOn w:val="a"/>
    <w:link w:val="af"/>
    <w:uiPriority w:val="99"/>
    <w:semiHidden/>
    <w:unhideWhenUsed/>
    <w:rsid w:val="0067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53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Ержанов Алпысбай</dc:creator>
  <cp:lastModifiedBy>Ержанов Алпысбай</cp:lastModifiedBy>
  <cp:revision>3</cp:revision>
  <cp:lastPrinted>2024-05-28T10:45:00Z</cp:lastPrinted>
  <dcterms:created xsi:type="dcterms:W3CDTF">2024-07-19T11:21:00Z</dcterms:created>
  <dcterms:modified xsi:type="dcterms:W3CDTF">2024-07-19T11:26:00Z</dcterms:modified>
</cp:coreProperties>
</file>